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85EA" w14:textId="77777777" w:rsidR="00FB2A00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72AC08" wp14:editId="173E7052">
                <wp:simplePos x="0" y="0"/>
                <wp:positionH relativeFrom="page">
                  <wp:posOffset>723900</wp:posOffset>
                </wp:positionH>
                <wp:positionV relativeFrom="page">
                  <wp:posOffset>279400</wp:posOffset>
                </wp:positionV>
                <wp:extent cx="6045200" cy="1478915"/>
                <wp:effectExtent l="0" t="0" r="12700" b="26035"/>
                <wp:wrapNone/>
                <wp:docPr id="1026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0736826" w14:textId="77777777" w:rsidR="00FB2A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7A399B1" wp14:editId="1A4BE0B0">
                                  <wp:extent cx="2149475" cy="436880"/>
                                  <wp:effectExtent l="0" t="0" r="9525" b="7620"/>
                                  <wp:docPr id="5" name="Picture 6" descr="downloa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6" descr="download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9475" cy="436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F318D" w14:textId="77777777" w:rsidR="00FB2A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KOMISI FATWA MAJLIS ULAMA INDONESIA (MUI) </w:t>
                            </w:r>
                          </w:p>
                          <w:p w14:paraId="52CCCD75" w14:textId="77777777" w:rsidR="00FB2A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PROVINSI BANTEN</w:t>
                            </w:r>
                          </w:p>
                          <w:p w14:paraId="15F2E1A4" w14:textId="77777777" w:rsidR="00FB2A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Kawasan Pusat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Provinsi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Banten (KP3B), Jalan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Syech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Nawawi Curug, Kota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Serang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, Banten 42171</w:t>
                            </w:r>
                          </w:p>
                          <w:p w14:paraId="21C705C8" w14:textId="77777777" w:rsidR="00FB2A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Telp. (0234) 267029, E-mail : komisifatwamuibanten@gmail.com</w:t>
                            </w:r>
                          </w:p>
                          <w:p w14:paraId="6B357BC8" w14:textId="77777777" w:rsidR="00FB2A00" w:rsidRDefault="00FB2A0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2AC08" id="Rectangles 5" o:spid="_x0000_s1026" style="position:absolute;left:0;text-align:left;margin-left:57pt;margin-top:22pt;width:476pt;height:116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" strokecolor="white" strokeweight="1pt">
                <v:textbox>
                  <w:txbxContent>
                    <w:p w14:paraId="00736826" w14:textId="77777777" w:rsidR="00FB2A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7A399B1" wp14:editId="1A4BE0B0">
                            <wp:extent cx="2149475" cy="436880"/>
                            <wp:effectExtent l="0" t="0" r="9525" b="7620"/>
                            <wp:docPr id="5" name="Picture 6" descr="downloa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6" descr="download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9475" cy="436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F318D" w14:textId="77777777" w:rsidR="00FB2A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KOMISI FATWA MAJLIS ULAMA INDONESIA (MUI) </w:t>
                      </w:r>
                    </w:p>
                    <w:p w14:paraId="52CCCD75" w14:textId="77777777" w:rsidR="00FB2A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PROVINSI BANTEN</w:t>
                      </w:r>
                    </w:p>
                    <w:p w14:paraId="15F2E1A4" w14:textId="77777777" w:rsidR="00FB2A00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Kawasan Pusat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Pemerintahan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Provinsi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Banten (KP3B), Jalan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Syech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Nawawi Curug, Kota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Serang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, Banten 42171</w:t>
                      </w:r>
                    </w:p>
                    <w:p w14:paraId="21C705C8" w14:textId="77777777" w:rsidR="00FB2A00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Telp. (0234) 267029, E-mail : komisifatwamuibanten@gmail.com</w:t>
                      </w:r>
                    </w:p>
                    <w:p w14:paraId="6B357BC8" w14:textId="77777777" w:rsidR="00FB2A00" w:rsidRDefault="00FB2A00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ECF1C9A" w14:textId="77777777" w:rsidR="00FB2A00" w:rsidRDefault="00FB2A00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14:paraId="7A891B6E" w14:textId="77777777" w:rsidR="00FB2A00" w:rsidRDefault="00FB2A00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14:paraId="78EE42D8" w14:textId="77777777" w:rsidR="00FB2A00" w:rsidRDefault="00FB2A00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14:paraId="67874A48" w14:textId="77777777" w:rsidR="00FB2A00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noProof/>
          <w:sz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167C338" wp14:editId="14B9157C">
                <wp:simplePos x="0" y="0"/>
                <wp:positionH relativeFrom="page">
                  <wp:posOffset>927735</wp:posOffset>
                </wp:positionH>
                <wp:positionV relativeFrom="page">
                  <wp:posOffset>1719580</wp:posOffset>
                </wp:positionV>
                <wp:extent cx="5842000" cy="19050"/>
                <wp:effectExtent l="0" t="13970" r="0" b="17780"/>
                <wp:wrapNone/>
                <wp:docPr id="102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1999" cy="190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A3867" id="Straight Connector 7" o:spid="_x0000_s1026" style="position:absolute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3.05pt,135.4pt" to="533.0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" strokeweight="2.25pt">
                <v:stroke joinstyle="miter"/>
                <w10:wrap anchorx="page" anchory="page"/>
              </v:line>
            </w:pict>
          </mc:Fallback>
        </mc:AlternateContent>
      </w:r>
    </w:p>
    <w:p w14:paraId="4C39A910" w14:textId="77777777" w:rsidR="00FB2A00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KOMISI FATWA</w:t>
      </w:r>
    </w:p>
    <w:p w14:paraId="5B179CC8" w14:textId="77777777" w:rsidR="00FB2A00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MAJELIS ULAMA INDONESIA PROVINSI BANTEN</w:t>
      </w:r>
    </w:p>
    <w:p w14:paraId="33E699EC" w14:textId="77777777" w:rsidR="00FB2A00" w:rsidRDefault="00FB2A00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14:paraId="30ABB07A" w14:textId="77777777" w:rsidR="00FB2A00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 wp14:anchorId="1B79FD3B" wp14:editId="31F48957">
            <wp:simplePos x="0" y="0"/>
            <wp:positionH relativeFrom="column">
              <wp:posOffset>1751965</wp:posOffset>
            </wp:positionH>
            <wp:positionV relativeFrom="paragraph">
              <wp:posOffset>136525</wp:posOffset>
            </wp:positionV>
            <wp:extent cx="1581785" cy="1581785"/>
            <wp:effectExtent l="0" t="0" r="5715" b="5715"/>
            <wp:wrapNone/>
            <wp:docPr id="1028" name="Picture 4" descr="kaligrafi-bismillah-un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kaligrafi-bismillah-unik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Nomor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: 04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Tahun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2023</w:t>
      </w:r>
    </w:p>
    <w:p w14:paraId="459E0592" w14:textId="77777777" w:rsidR="00FB2A00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sz w:val="24"/>
          <w:szCs w:val="24"/>
        </w:rPr>
        <w:t>Tentang</w:t>
      </w:r>
      <w:proofErr w:type="spellEnd"/>
    </w:p>
    <w:p w14:paraId="5A48964B" w14:textId="77777777" w:rsidR="00FB2A00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HUKUM SAWER KEPADA QORI QORI’AH AL-QURAN DAN LAINNYA</w:t>
      </w:r>
    </w:p>
    <w:p w14:paraId="2DBA966F" w14:textId="77777777" w:rsidR="00FB2A00" w:rsidRDefault="00FB2A0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29FC55" w14:textId="77777777" w:rsidR="00FB2A00" w:rsidRDefault="00FB2A0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C24B2D" w14:textId="77777777" w:rsidR="00FB2A00" w:rsidRDefault="00FB2A0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AF8AF" w14:textId="77777777" w:rsidR="00FB2A00" w:rsidRDefault="00FB2A0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3CB3044D" w14:textId="77777777" w:rsidR="00FB2A00" w:rsidRDefault="00000000">
      <w:pPr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Komisi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Fatwa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Majelis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Ulama Indonesia (MUI)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Provinsi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Banten,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setelah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: </w:t>
      </w:r>
    </w:p>
    <w:p w14:paraId="3AB8D6B0" w14:textId="77777777" w:rsidR="00FB2A00" w:rsidRDefault="00FB2A0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6010FA2C" w14:textId="77777777" w:rsidR="00FB2A00" w:rsidRDefault="00000000">
      <w:pPr>
        <w:ind w:left="219" w:hangingChars="91" w:hanging="219"/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Menimbang</w:t>
      </w:r>
      <w:proofErr w:type="spellEnd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:</w:t>
      </w:r>
    </w:p>
    <w:p w14:paraId="065A5AD5" w14:textId="77777777" w:rsidR="00FB2A00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Bahwa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membaca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val="id-ID"/>
        </w:rPr>
        <w:t xml:space="preserve"> dan mendengarkan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al-Quran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salah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satu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dianjurkan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mulia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sisi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Allah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swt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;</w:t>
      </w:r>
    </w:p>
    <w:p w14:paraId="535B3F9F" w14:textId="77777777" w:rsidR="00FB2A00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Membaca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/>
          <w:color w:val="000000"/>
          <w:sz w:val="24"/>
          <w:szCs w:val="24"/>
          <w:lang w:val="id-ID"/>
        </w:rPr>
        <w:t xml:space="preserve">dan mendengarkan </w:t>
      </w:r>
      <w:r>
        <w:rPr>
          <w:rFonts w:ascii="Cambria" w:eastAsia="Cambria" w:hAnsi="Cambria"/>
          <w:color w:val="000000"/>
          <w:sz w:val="24"/>
          <w:szCs w:val="24"/>
        </w:rPr>
        <w:t xml:space="preserve">al-Quran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harus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dengan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adab dan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etika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yang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baik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;</w:t>
      </w:r>
    </w:p>
    <w:p w14:paraId="6EA490F9" w14:textId="77777777" w:rsidR="00FB2A00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val="id-ID"/>
        </w:rPr>
      </w:pPr>
      <w:r>
        <w:rPr>
          <w:rFonts w:ascii="Cambria" w:eastAsia="Cambria" w:hAnsi="Cambria"/>
          <w:color w:val="000000"/>
          <w:sz w:val="24"/>
          <w:szCs w:val="24"/>
          <w:lang w:val="id-ID"/>
        </w:rPr>
        <w:t xml:space="preserve">  Terjadi fenomena di tengah masyarakat, yakni beberapa masyarakat yang “nyawer” uang ketika qori’ah sedang melantunkan Al-Quran;</w:t>
      </w:r>
    </w:p>
    <w:p w14:paraId="3A5A94F9" w14:textId="77777777" w:rsidR="00FB2A00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val="id-ID"/>
        </w:rPr>
      </w:pPr>
      <w:r>
        <w:rPr>
          <w:rFonts w:ascii="Cambria" w:eastAsia="Cambria" w:hAnsi="Cambria" w:cs="Cambria"/>
          <w:color w:val="000000"/>
          <w:sz w:val="24"/>
          <w:szCs w:val="24"/>
          <w:lang w:val="id-ID"/>
        </w:rPr>
        <w:t xml:space="preserve">  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“Sawer”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semacam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hadiah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diberikan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secara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terang-terangan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biasanya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cara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dilemparkan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orang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tertentu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sedang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tampil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14:paraId="4011D951" w14:textId="77777777" w:rsidR="00FB2A00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lang w:val="id-ID"/>
        </w:rPr>
        <w:t xml:space="preserve">   </w:t>
      </w:r>
      <w:r>
        <w:rPr>
          <w:rFonts w:ascii="Cambria" w:eastAsia="Cambria" w:hAnsi="Cambria"/>
          <w:color w:val="000000"/>
          <w:sz w:val="24"/>
          <w:szCs w:val="24"/>
        </w:rPr>
        <w:t xml:space="preserve">Adanya </w:t>
      </w:r>
      <w:proofErr w:type="spellStart"/>
      <w:r>
        <w:rPr>
          <w:rFonts w:ascii="Cambria" w:eastAsia="Cambria" w:hAnsi="Cambria"/>
          <w:i/>
          <w:color w:val="000000"/>
          <w:sz w:val="24"/>
          <w:szCs w:val="24"/>
        </w:rPr>
        <w:t>istifta</w:t>
      </w:r>
      <w:proofErr w:type="spellEnd"/>
      <w:r>
        <w:rPr>
          <w:rFonts w:ascii="Cambria" w:eastAsia="Cambria" w:hAnsi="Cambria"/>
          <w:i/>
          <w:color w:val="000000"/>
          <w:sz w:val="24"/>
          <w:szCs w:val="24"/>
        </w:rPr>
        <w:t xml:space="preserve">’ </w:t>
      </w:r>
      <w:r>
        <w:rPr>
          <w:rFonts w:ascii="Cambria" w:eastAsia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permintaan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fatwa)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kepada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Komisi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Fatwa MUI Prov Banten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dari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masyarakat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dan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beberapa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pihak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tentang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fenomena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tersebut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pada point 3;</w:t>
      </w:r>
    </w:p>
    <w:p w14:paraId="07CACF7F" w14:textId="77777777" w:rsidR="00FB2A00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Bahwa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itu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komisi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Fatwa MUI Prov. Banten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perlu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mengeluarkan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fatwa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terkait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masalah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agar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perhatian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luas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0A86F12A" w14:textId="77777777" w:rsidR="00FB2A00" w:rsidRDefault="00FB2A00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5DE8A4F" w14:textId="77777777" w:rsidR="00FB2A00" w:rsidRDefault="00000000"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Mengingat</w:t>
      </w:r>
      <w:proofErr w:type="spellEnd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:</w:t>
      </w:r>
    </w:p>
    <w:p w14:paraId="756CDF6C" w14:textId="77777777" w:rsidR="00FB2A00" w:rsidRDefault="00000000">
      <w:pPr>
        <w:numPr>
          <w:ilvl w:val="0"/>
          <w:numId w:val="2"/>
        </w:numPr>
        <w:ind w:leftChars="200" w:left="798" w:hangingChars="166" w:hanging="3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Firman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Allah SWT, </w:t>
      </w:r>
      <w:proofErr w:type="spellStart"/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antara</w:t>
      </w:r>
      <w:proofErr w:type="spellEnd"/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 xml:space="preserve"> lain</w:t>
      </w:r>
      <w:r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6CC433A2" w14:textId="77777777" w:rsidR="00FB2A00" w:rsidRDefault="00000000">
      <w:pPr>
        <w:numPr>
          <w:ilvl w:val="0"/>
          <w:numId w:val="3"/>
        </w:numPr>
        <w:ind w:leftChars="393" w:left="1387" w:hanging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Perintah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mendengarkan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Al-Quran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Al-Quran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dilantunkan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(Q.S. Al-A'raf:204):</w:t>
      </w:r>
    </w:p>
    <w:p w14:paraId="3DFDC25E" w14:textId="77777777" w:rsidR="00FB2A00" w:rsidRDefault="00000000">
      <w:pPr>
        <w:pStyle w:val="NormalWeb"/>
        <w:bidi/>
        <w:ind w:rightChars="700" w:right="14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وَاِذَا قُرِئَ الْقُرْاٰنُ فَاسْتَمِعُوْا لَه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وَاَنْصِتُوْا لَعَلَّكُمْ تُرْحَمُوْنَ ٢٠٤</w:t>
      </w:r>
    </w:p>
    <w:p w14:paraId="4B165502" w14:textId="77777777" w:rsidR="00FB2A00" w:rsidRDefault="00000000">
      <w:pPr>
        <w:pStyle w:val="NormalWeb"/>
        <w:ind w:leftChars="700" w:left="1400" w:rightChars="52" w:right="104"/>
        <w:rPr>
          <w:rFonts w:eastAsia="Segoe UI"/>
          <w:color w:val="333333"/>
          <w:shd w:val="clear" w:color="auto" w:fill="FFFFFF"/>
        </w:rPr>
      </w:pPr>
      <w:r>
        <w:rPr>
          <w:rFonts w:ascii="Cambria" w:hAnsi="Cambria" w:cs="Cambria"/>
        </w:rPr>
        <w:t xml:space="preserve">Jika </w:t>
      </w:r>
      <w:proofErr w:type="spellStart"/>
      <w:r>
        <w:rPr>
          <w:rFonts w:ascii="Cambria" w:hAnsi="Cambria" w:cs="Cambria"/>
        </w:rPr>
        <w:t>dibacakan</w:t>
      </w:r>
      <w:proofErr w:type="spellEnd"/>
      <w:r>
        <w:rPr>
          <w:rFonts w:ascii="Cambria" w:hAnsi="Cambria" w:cs="Cambria"/>
        </w:rPr>
        <w:t xml:space="preserve"> Al-Qur’an, </w:t>
      </w:r>
      <w:proofErr w:type="spellStart"/>
      <w:r>
        <w:rPr>
          <w:rFonts w:ascii="Cambria" w:hAnsi="Cambria" w:cs="Cambria"/>
        </w:rPr>
        <w:t>dengarkanlah</w:t>
      </w:r>
      <w:proofErr w:type="spellEnd"/>
      <w:r>
        <w:rPr>
          <w:rFonts w:ascii="Cambria" w:hAnsi="Cambria" w:cs="Cambria"/>
        </w:rPr>
        <w:t xml:space="preserve"> (denga </w:t>
      </w:r>
      <w:proofErr w:type="spellStart"/>
      <w:r>
        <w:rPr>
          <w:rFonts w:ascii="Cambria" w:hAnsi="Cambria" w:cs="Cambria"/>
        </w:rPr>
        <w:t>saksama</w:t>
      </w:r>
      <w:proofErr w:type="spellEnd"/>
      <w:r>
        <w:rPr>
          <w:rFonts w:ascii="Cambria" w:hAnsi="Cambria" w:cs="Cambria"/>
        </w:rPr>
        <w:t xml:space="preserve">) dan </w:t>
      </w:r>
      <w:proofErr w:type="spellStart"/>
      <w:r>
        <w:rPr>
          <w:rFonts w:ascii="Cambria" w:hAnsi="Cambria" w:cs="Cambria"/>
        </w:rPr>
        <w:t>diamlah</w:t>
      </w:r>
      <w:proofErr w:type="spellEnd"/>
      <w:r>
        <w:rPr>
          <w:rFonts w:ascii="Cambria" w:hAnsi="Cambria" w:cs="Cambria"/>
        </w:rPr>
        <w:t xml:space="preserve"> agar </w:t>
      </w:r>
      <w:proofErr w:type="spellStart"/>
      <w:r>
        <w:rPr>
          <w:rFonts w:ascii="Cambria" w:hAnsi="Cambria" w:cs="Cambria"/>
        </w:rPr>
        <w:t>kamu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dirahmati</w:t>
      </w:r>
      <w:proofErr w:type="spellEnd"/>
      <w:r>
        <w:rPr>
          <w:rFonts w:ascii="Cambria" w:hAnsi="Cambria" w:cs="Cambria"/>
        </w:rPr>
        <w:t>.</w:t>
      </w:r>
    </w:p>
    <w:p w14:paraId="32C804CB" w14:textId="77777777" w:rsidR="00FB2A00" w:rsidRDefault="00FB2A00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CBC22" w14:textId="77777777" w:rsidR="00FB2A00" w:rsidRDefault="00000000">
      <w:pPr>
        <w:numPr>
          <w:ilvl w:val="0"/>
          <w:numId w:val="3"/>
        </w:numPr>
        <w:ind w:leftChars="34" w:left="68" w:firstLine="7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Perintah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merenungi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ayat-ayat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Allah,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termasuk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Al-Quran :</w:t>
      </w:r>
    </w:p>
    <w:p w14:paraId="6C7A3CC4" w14:textId="77777777" w:rsidR="00FB2A00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كِتَابٌ أَنْزَلْنَاهُ إِلَيْكَ مُبَارَكٌ لِيَدَّبَّرُوا آيَاتِهِ وَلِيَتَذَكَّرَ أُولُو الْأَلْبَابِ</w:t>
      </w:r>
    </w:p>
    <w:p w14:paraId="287A11EE" w14:textId="77777777" w:rsidR="00FB2A00" w:rsidRDefault="00000000">
      <w:pPr>
        <w:ind w:leftChars="700" w:left="1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yang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tadabbur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ayat-ayatnya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fikiran</w:t>
      </w:r>
      <w:proofErr w:type="spellEnd"/>
      <w:r>
        <w:rPr>
          <w:rFonts w:ascii="Times New Roman" w:hAnsi="Times New Roman" w:cs="Times New Roman"/>
          <w:sz w:val="24"/>
          <w:szCs w:val="24"/>
        </w:rPr>
        <w:t>. (QS. Shad: 29)</w:t>
      </w:r>
    </w:p>
    <w:p w14:paraId="6E0EB27F" w14:textId="77777777" w:rsidR="00FB2A00" w:rsidRDefault="00FB2A00">
      <w:pPr>
        <w:ind w:rightChars="-46" w:right="-92"/>
        <w:jc w:val="both"/>
        <w:rPr>
          <w:rFonts w:ascii="Times New Roman" w:eastAsia="KFGQPC HAFS Uthmanic Script" w:hAnsi="Times New Roman" w:cs="Times New Roman"/>
          <w:sz w:val="24"/>
          <w:szCs w:val="24"/>
        </w:rPr>
      </w:pPr>
    </w:p>
    <w:p w14:paraId="44E2A693" w14:textId="77777777" w:rsidR="00FB2A00" w:rsidRDefault="00000000">
      <w:pPr>
        <w:numPr>
          <w:ilvl w:val="0"/>
          <w:numId w:val="3"/>
        </w:numPr>
        <w:ind w:leftChars="393" w:left="1387" w:hanging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Perintah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Inshot</w:t>
      </w:r>
      <w:proofErr w:type="spellEnd"/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(Diam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mendengarakan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seksama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khusuk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ketika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dilantukan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Al-Quran :</w:t>
      </w:r>
    </w:p>
    <w:p w14:paraId="461D39BB" w14:textId="77777777" w:rsidR="00FB2A00" w:rsidRDefault="00000000">
      <w:pPr>
        <w:bidi/>
        <w:ind w:rightChars="700" w:right="1400"/>
      </w:pPr>
      <w:r>
        <w:rPr>
          <w:rFonts w:ascii="Traditional Arabic" w:hAnsi="Traditional Arabic" w:cs="Traditional Arabic"/>
          <w:sz w:val="32"/>
          <w:szCs w:val="32"/>
          <w:rtl/>
          <w:cs/>
        </w:rPr>
        <w:t>وَإِذْ صَرَفْنَا إِلَيْكَ نَفَرًا مِّنَ الْجِنِّ يَسْتَمِعُونَ الْقُرْآنَ فَلَمَّا حَضَرُوهُ قَالُوا أَنصِتُوا فَلَمَّا قُضِيَ وَلَّوْا إِلَىٰ قَوْمِهِم مُّنذِرِينَ</w:t>
      </w:r>
    </w:p>
    <w:p w14:paraId="6A3C9D16" w14:textId="77777777" w:rsidR="00FB2A00" w:rsidRDefault="00000000">
      <w:pPr>
        <w:ind w:leftChars="700" w:left="1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“Dan (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serombongan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Quran,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Diamlah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)”.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>
        <w:rPr>
          <w:rFonts w:ascii="Times New Roman" w:hAnsi="Times New Roman" w:cs="Times New Roman"/>
          <w:sz w:val="24"/>
          <w:szCs w:val="24"/>
        </w:rPr>
        <w:t>.” (QS. Al-</w:t>
      </w:r>
      <w:proofErr w:type="spellStart"/>
      <w:r>
        <w:rPr>
          <w:rFonts w:ascii="Times New Roman" w:hAnsi="Times New Roman" w:cs="Times New Roman"/>
          <w:sz w:val="24"/>
          <w:szCs w:val="24"/>
        </w:rPr>
        <w:t>Ahqaf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[46]: 29)</w:t>
      </w:r>
    </w:p>
    <w:p w14:paraId="3263533F" w14:textId="77777777" w:rsidR="00FB2A00" w:rsidRDefault="00000000">
      <w:pPr>
        <w:spacing w:before="240"/>
        <w:ind w:leftChars="36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Ayat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>. (Q.S. Annur 30-31)</w:t>
      </w:r>
    </w:p>
    <w:p w14:paraId="277D7433" w14:textId="77777777" w:rsidR="00FB2A00" w:rsidRDefault="00FB2A00">
      <w:pPr>
        <w:ind w:leftChars="700" w:left="1400"/>
        <w:jc w:val="both"/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</w:pPr>
    </w:p>
    <w:p w14:paraId="12DF99FA" w14:textId="77777777" w:rsidR="00FB2A00" w:rsidRDefault="00000000">
      <w:pPr>
        <w:pStyle w:val="NormalWeb"/>
        <w:bidi/>
        <w:ind w:left="-94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قُلْ لِّلْمُؤْمِنِيْنَ يَغُضُّوْا مِنْ اَبْصَارِهِمْ وَيَحْفَظُوْا فُرُوْجَهُمْۗ ذٰلِكَ اَزْكٰى لَهُمْۗ اِنَّ اللّٰهَ خَبِيْرٌۢ بِمَا يَصْنَعُوْنَ </w:t>
      </w:r>
    </w:p>
    <w:p w14:paraId="2722D04E" w14:textId="77777777" w:rsidR="00FB2A00" w:rsidRDefault="00000000">
      <w:pPr>
        <w:pStyle w:val="NormalWeb"/>
        <w:ind w:left="1440"/>
        <w:jc w:val="both"/>
        <w:rPr>
          <w:rtl/>
        </w:rPr>
      </w:pPr>
      <w:r>
        <w:t>“</w:t>
      </w:r>
      <w:proofErr w:type="spellStart"/>
      <w:r>
        <w:t>Katakanlah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pandangannya</w:t>
      </w:r>
      <w:proofErr w:type="spellEnd"/>
      <w:r>
        <w:t xml:space="preserve"> dan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kemaluannya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Sesungguhnya</w:t>
      </w:r>
      <w:proofErr w:type="spellEnd"/>
      <w:r>
        <w:t xml:space="preserve"> Allah </w:t>
      </w:r>
      <w:proofErr w:type="spellStart"/>
      <w:r>
        <w:t>Mahateliti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perbuat</w:t>
      </w:r>
      <w:proofErr w:type="spellEnd"/>
      <w:r>
        <w:t>.” (Q.S. Annur: 30)</w:t>
      </w:r>
    </w:p>
    <w:p w14:paraId="7D9E1AEC" w14:textId="77777777" w:rsidR="00FB2A00" w:rsidRDefault="00FB2A00">
      <w:pPr>
        <w:ind w:leftChars="34" w:left="68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57BC0BA" w14:textId="77777777" w:rsidR="00FB2A00" w:rsidRDefault="00000000">
      <w:pPr>
        <w:numPr>
          <w:ilvl w:val="0"/>
          <w:numId w:val="2"/>
        </w:numPr>
        <w:ind w:leftChars="200" w:left="798" w:hangingChars="166" w:hanging="39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Hadis Nabi Muhammad SAW,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antara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lain</w:t>
      </w:r>
      <w:r>
        <w:rPr>
          <w:rFonts w:ascii="Cambria" w:hAnsi="Cambria" w:cs="Cambria"/>
          <w:sz w:val="24"/>
          <w:szCs w:val="24"/>
        </w:rPr>
        <w:t>:</w:t>
      </w:r>
    </w:p>
    <w:p w14:paraId="679D761C" w14:textId="77777777" w:rsidR="00FB2A00" w:rsidRDefault="00FB2A00">
      <w:pPr>
        <w:ind w:leftChars="34" w:left="68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1EC90882" w14:textId="77777777" w:rsidR="00FB2A00" w:rsidRDefault="00000000">
      <w:pPr>
        <w:numPr>
          <w:ilvl w:val="0"/>
          <w:numId w:val="4"/>
        </w:numPr>
        <w:tabs>
          <w:tab w:val="clear" w:pos="425"/>
        </w:tabs>
        <w:ind w:left="1400" w:hanging="600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Hadis </w:t>
      </w:r>
      <w:proofErr w:type="spellStart"/>
      <w:r>
        <w:rPr>
          <w:rFonts w:ascii="Cambria" w:hAnsi="Cambria" w:cs="Cambria"/>
          <w:sz w:val="24"/>
          <w:szCs w:val="24"/>
        </w:rPr>
        <w:t>tentang</w:t>
      </w:r>
      <w:proofErr w:type="spellEnd"/>
      <w:r>
        <w:rPr>
          <w:rFonts w:ascii="Cambria" w:hAnsi="Cambria" w:cs="Cambria"/>
          <w:sz w:val="24"/>
          <w:szCs w:val="24"/>
        </w:rPr>
        <w:t xml:space="preserve"> Al-Quran </w:t>
      </w:r>
      <w:proofErr w:type="spellStart"/>
      <w:r>
        <w:rPr>
          <w:rFonts w:ascii="Cambria" w:hAnsi="Cambria" w:cs="Cambria"/>
          <w:sz w:val="24"/>
          <w:szCs w:val="24"/>
        </w:rPr>
        <w:t>sebagai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sarana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berkomunikasi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dengan</w:t>
      </w:r>
      <w:proofErr w:type="spellEnd"/>
      <w:r>
        <w:rPr>
          <w:rFonts w:ascii="Cambria" w:hAnsi="Cambria" w:cs="Cambria"/>
          <w:sz w:val="24"/>
          <w:szCs w:val="24"/>
        </w:rPr>
        <w:t xml:space="preserve"> Allah :</w:t>
      </w:r>
    </w:p>
    <w:p w14:paraId="21583221" w14:textId="77777777" w:rsidR="00FB2A00" w:rsidRDefault="00000000">
      <w:pPr>
        <w:pStyle w:val="NormalWeb"/>
        <w:shd w:val="clear" w:color="auto" w:fill="FFFFFF"/>
        <w:spacing w:beforeAutospacing="0" w:after="250" w:afterAutospacing="0" w:line="260" w:lineRule="atLeast"/>
        <w:jc w:val="right"/>
        <w:rPr>
          <w:rFonts w:ascii="Segoe UI" w:eastAsia="Segoe UI" w:hAnsi="Segoe UI" w:cs="Segoe UI"/>
          <w:color w:val="2C2F34"/>
          <w:sz w:val="15"/>
          <w:szCs w:val="15"/>
        </w:rPr>
      </w:pPr>
      <w:r>
        <w:rPr>
          <w:rFonts w:ascii="Traditional Arabic" w:eastAsia="Traditional Arabic" w:hAnsi="Traditional Arabic" w:cs="Traditional Arabic"/>
          <w:color w:val="2C2F34"/>
          <w:sz w:val="36"/>
          <w:szCs w:val="36"/>
          <w:shd w:val="clear" w:color="auto" w:fill="FFFFFF"/>
          <w:rtl/>
          <w:cs/>
        </w:rPr>
        <w:t>إِذَا أَحَبَّ أَحَدُكُمْ أَنْ يُحَدِّثَ رَبَّهُ فّلْيَقْرَأُ القُرْآنَ</w:t>
      </w:r>
    </w:p>
    <w:p w14:paraId="4F87D9BB" w14:textId="77777777" w:rsidR="00FB2A00" w:rsidRDefault="00000000">
      <w:pPr>
        <w:pStyle w:val="NormalWeb"/>
        <w:shd w:val="clear" w:color="auto" w:fill="FFFFFF"/>
        <w:spacing w:beforeAutospacing="0" w:after="250" w:afterAutospacing="0" w:line="260" w:lineRule="atLeast"/>
        <w:ind w:leftChars="700" w:left="1400"/>
        <w:jc w:val="both"/>
      </w:pPr>
      <w:proofErr w:type="spellStart"/>
      <w:r>
        <w:rPr>
          <w:rFonts w:eastAsia="Segoe UI"/>
          <w:color w:val="2C2F34"/>
          <w:shd w:val="clear" w:color="auto" w:fill="FFFFFF"/>
        </w:rPr>
        <w:t>Apabila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seseorang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ingin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berdialog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dengan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Tuhannya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maka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hendaklah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dia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</w:t>
      </w:r>
      <w:proofErr w:type="spellStart"/>
      <w:r>
        <w:rPr>
          <w:rFonts w:eastAsia="Segoe UI"/>
          <w:color w:val="2C2F34"/>
          <w:shd w:val="clear" w:color="auto" w:fill="FFFFFF"/>
        </w:rPr>
        <w:t>membaca</w:t>
      </w:r>
      <w:proofErr w:type="spellEnd"/>
      <w:r>
        <w:rPr>
          <w:rFonts w:eastAsia="Segoe UI"/>
          <w:color w:val="2C2F34"/>
          <w:shd w:val="clear" w:color="auto" w:fill="FFFFFF"/>
        </w:rPr>
        <w:t xml:space="preserve"> Alquran. (HR. Ad-Dailami dan Al-</w:t>
      </w:r>
      <w:proofErr w:type="spellStart"/>
      <w:r>
        <w:rPr>
          <w:rFonts w:eastAsia="Segoe UI"/>
          <w:color w:val="2C2F34"/>
          <w:shd w:val="clear" w:color="auto" w:fill="FFFFFF"/>
        </w:rPr>
        <w:t>Baihaqi</w:t>
      </w:r>
      <w:proofErr w:type="spellEnd"/>
      <w:r>
        <w:rPr>
          <w:rFonts w:eastAsia="Segoe UI"/>
          <w:color w:val="2C2F34"/>
          <w:shd w:val="clear" w:color="auto" w:fill="FFFFFF"/>
        </w:rPr>
        <w:t>)</w:t>
      </w:r>
    </w:p>
    <w:p w14:paraId="29B8A830" w14:textId="77777777" w:rsidR="00FB2A00" w:rsidRDefault="00000000">
      <w:pPr>
        <w:numPr>
          <w:ilvl w:val="0"/>
          <w:numId w:val="4"/>
        </w:numPr>
        <w:tabs>
          <w:tab w:val="clear" w:pos="425"/>
        </w:tabs>
        <w:ind w:left="1400" w:hanging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:</w:t>
      </w:r>
    </w:p>
    <w:p w14:paraId="2C18F754" w14:textId="77777777" w:rsidR="00FB2A00" w:rsidRDefault="00000000">
      <w:pPr>
        <w:pStyle w:val="NormalWeb"/>
        <w:shd w:val="clear" w:color="auto" w:fill="FFFFFF"/>
        <w:bidi/>
        <w:spacing w:line="210" w:lineRule="atLeast"/>
        <w:ind w:rightChars="700" w:right="1400"/>
        <w:jc w:val="both"/>
        <w:rPr>
          <w:rFonts w:ascii="Traditional Arabic" w:eastAsia="Arial" w:hAnsi="Traditional Arabic" w:cs="Traditional Arabic"/>
          <w:color w:val="191919"/>
          <w:sz w:val="32"/>
          <w:szCs w:val="32"/>
        </w:rPr>
      </w:pPr>
      <w:r>
        <w:rPr>
          <w:rFonts w:ascii="Traditional Arabic" w:eastAsia="Arial" w:hAnsi="Traditional Arabic" w:cs="Traditional Arabic"/>
          <w:color w:val="191919"/>
          <w:sz w:val="32"/>
          <w:szCs w:val="32"/>
          <w:shd w:val="clear" w:color="auto" w:fill="FFFFFF"/>
          <w:rtl/>
          <w:cs/>
        </w:rPr>
        <w:t>مَنِ اسْتَمَعَ إلى آيَةٍ من كِتَابِ اللَّهِ تَعَالَى كتب له حَسَنَةٌ مُضَاعَفَةٌ ، وَمَنْ تَلاَهَا كانت له نُوراً يوم الْقِيَامَةِ</w:t>
      </w:r>
      <w:r>
        <w:rPr>
          <w:rFonts w:ascii="Traditional Arabic" w:eastAsia="Arial" w:hAnsi="Traditional Arabic" w:cs="Traditional Arabic"/>
          <w:color w:val="191919"/>
          <w:sz w:val="32"/>
          <w:szCs w:val="32"/>
          <w:shd w:val="clear" w:color="auto" w:fill="FFFFFF"/>
        </w:rPr>
        <w:t>.</w:t>
      </w:r>
    </w:p>
    <w:p w14:paraId="54D52CB4" w14:textId="77777777" w:rsidR="00FB2A00" w:rsidRDefault="00000000">
      <w:pPr>
        <w:pStyle w:val="NormalWeb"/>
        <w:shd w:val="clear" w:color="auto" w:fill="FFFFFF"/>
        <w:spacing w:line="210" w:lineRule="atLeast"/>
        <w:ind w:leftChars="700" w:left="1400"/>
        <w:jc w:val="both"/>
        <w:rPr>
          <w:rFonts w:eastAsia="Arial"/>
          <w:color w:val="191919"/>
        </w:rPr>
      </w:pPr>
      <w:r>
        <w:rPr>
          <w:rFonts w:eastAsia="Arial"/>
          <w:color w:val="191919"/>
          <w:shd w:val="clear" w:color="auto" w:fill="FFFFFF"/>
        </w:rPr>
        <w:t>“</w:t>
      </w:r>
      <w:proofErr w:type="spellStart"/>
      <w:r>
        <w:rPr>
          <w:rFonts w:eastAsia="Arial"/>
          <w:color w:val="191919"/>
          <w:shd w:val="clear" w:color="auto" w:fill="FFFFFF"/>
        </w:rPr>
        <w:t>Barangsiapa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mendengarkan</w:t>
      </w:r>
      <w:proofErr w:type="spellEnd"/>
      <w:r>
        <w:rPr>
          <w:rFonts w:eastAsia="Arial"/>
          <w:color w:val="191919"/>
          <w:shd w:val="clear" w:color="auto" w:fill="FFFFFF"/>
        </w:rPr>
        <w:t xml:space="preserve"> (</w:t>
      </w:r>
      <w:proofErr w:type="spellStart"/>
      <w:r>
        <w:rPr>
          <w:rFonts w:eastAsia="Arial"/>
          <w:color w:val="191919"/>
          <w:shd w:val="clear" w:color="auto" w:fill="FFFFFF"/>
        </w:rPr>
        <w:t>dengan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sungguh-sungguh</w:t>
      </w:r>
      <w:proofErr w:type="spellEnd"/>
      <w:r>
        <w:rPr>
          <w:rFonts w:eastAsia="Arial"/>
          <w:color w:val="191919"/>
          <w:shd w:val="clear" w:color="auto" w:fill="FFFFFF"/>
        </w:rPr>
        <w:t xml:space="preserve">) </w:t>
      </w:r>
      <w:proofErr w:type="spellStart"/>
      <w:r>
        <w:rPr>
          <w:rFonts w:eastAsia="Arial"/>
          <w:color w:val="191919"/>
          <w:shd w:val="clear" w:color="auto" w:fill="FFFFFF"/>
        </w:rPr>
        <w:t>ayat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dari</w:t>
      </w:r>
      <w:proofErr w:type="spellEnd"/>
      <w:r>
        <w:rPr>
          <w:rFonts w:eastAsia="Arial"/>
          <w:color w:val="191919"/>
          <w:shd w:val="clear" w:color="auto" w:fill="FFFFFF"/>
        </w:rPr>
        <w:t xml:space="preserve"> Alquran, </w:t>
      </w:r>
      <w:proofErr w:type="spellStart"/>
      <w:r>
        <w:rPr>
          <w:rFonts w:eastAsia="Arial"/>
          <w:color w:val="191919"/>
          <w:shd w:val="clear" w:color="auto" w:fill="FFFFFF"/>
        </w:rPr>
        <w:t>dituliskan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baginya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kebaikan</w:t>
      </w:r>
      <w:proofErr w:type="spellEnd"/>
      <w:r>
        <w:rPr>
          <w:rFonts w:eastAsia="Arial"/>
          <w:color w:val="191919"/>
          <w:shd w:val="clear" w:color="auto" w:fill="FFFFFF"/>
        </w:rPr>
        <w:t xml:space="preserve"> yang </w:t>
      </w:r>
      <w:proofErr w:type="spellStart"/>
      <w:r>
        <w:rPr>
          <w:rFonts w:eastAsia="Arial"/>
          <w:color w:val="191919"/>
          <w:shd w:val="clear" w:color="auto" w:fill="FFFFFF"/>
        </w:rPr>
        <w:t>berlipat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ganda</w:t>
      </w:r>
      <w:proofErr w:type="spellEnd"/>
      <w:r>
        <w:rPr>
          <w:rFonts w:eastAsia="Arial"/>
          <w:color w:val="191919"/>
          <w:shd w:val="clear" w:color="auto" w:fill="FFFFFF"/>
        </w:rPr>
        <w:t xml:space="preserve"> dan </w:t>
      </w:r>
      <w:proofErr w:type="spellStart"/>
      <w:r>
        <w:rPr>
          <w:rFonts w:eastAsia="Arial"/>
          <w:color w:val="191919"/>
          <w:shd w:val="clear" w:color="auto" w:fill="FFFFFF"/>
        </w:rPr>
        <w:t>barangsiapa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membacanya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adalah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baginya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cahaya</w:t>
      </w:r>
      <w:proofErr w:type="spellEnd"/>
      <w:r>
        <w:rPr>
          <w:rFonts w:eastAsia="Arial"/>
          <w:color w:val="191919"/>
          <w:shd w:val="clear" w:color="auto" w:fill="FFFFFF"/>
        </w:rPr>
        <w:t xml:space="preserve"> pada </w:t>
      </w:r>
      <w:proofErr w:type="spellStart"/>
      <w:r>
        <w:rPr>
          <w:rFonts w:eastAsia="Arial"/>
          <w:color w:val="191919"/>
          <w:shd w:val="clear" w:color="auto" w:fill="FFFFFF"/>
        </w:rPr>
        <w:t>hari</w:t>
      </w:r>
      <w:proofErr w:type="spellEnd"/>
      <w:r>
        <w:rPr>
          <w:rFonts w:eastAsia="Arial"/>
          <w:color w:val="191919"/>
          <w:shd w:val="clear" w:color="auto" w:fill="FFFFFF"/>
        </w:rPr>
        <w:t xml:space="preserve"> </w:t>
      </w:r>
      <w:proofErr w:type="spellStart"/>
      <w:r>
        <w:rPr>
          <w:rFonts w:eastAsia="Arial"/>
          <w:color w:val="191919"/>
          <w:shd w:val="clear" w:color="auto" w:fill="FFFFFF"/>
        </w:rPr>
        <w:t>Kiamat</w:t>
      </w:r>
      <w:proofErr w:type="spellEnd"/>
      <w:r>
        <w:rPr>
          <w:rFonts w:eastAsia="Arial"/>
          <w:color w:val="191919"/>
          <w:shd w:val="clear" w:color="auto" w:fill="FFFFFF"/>
        </w:rPr>
        <w:t xml:space="preserve">." (HR Bukhari dan Imam Ahmad </w:t>
      </w:r>
      <w:proofErr w:type="spellStart"/>
      <w:r>
        <w:rPr>
          <w:rFonts w:eastAsia="Arial"/>
          <w:color w:val="191919"/>
          <w:shd w:val="clear" w:color="auto" w:fill="FFFFFF"/>
        </w:rPr>
        <w:t>dari</w:t>
      </w:r>
      <w:proofErr w:type="spellEnd"/>
      <w:r>
        <w:rPr>
          <w:rFonts w:eastAsia="Arial"/>
          <w:color w:val="191919"/>
          <w:shd w:val="clear" w:color="auto" w:fill="FFFFFF"/>
        </w:rPr>
        <w:t xml:space="preserve"> Abu Hurairah RA).</w:t>
      </w:r>
    </w:p>
    <w:p w14:paraId="1120D168" w14:textId="77777777" w:rsidR="00FB2A00" w:rsidRDefault="00000000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lastRenderedPageBreak/>
        <w:t>من استمع إلى آية من كتاب الله تعالى كانت له نوراً</w:t>
      </w:r>
    </w:p>
    <w:p w14:paraId="330E385B" w14:textId="77777777" w:rsidR="00FB2A00" w:rsidRDefault="00000000">
      <w:pPr>
        <w:pStyle w:val="NormalWeb"/>
        <w:ind w:leftChars="700" w:left="1400"/>
      </w:pPr>
      <w:r>
        <w:t>“</w:t>
      </w:r>
      <w:proofErr w:type="spellStart"/>
      <w:r>
        <w:t>Barangsiapa</w:t>
      </w:r>
      <w:proofErr w:type="spellEnd"/>
      <w:r>
        <w:t xml:space="preserve"> </w:t>
      </w:r>
      <w:proofErr w:type="spellStart"/>
      <w:r>
        <w:t>mendengarkan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kitab Allah (Al-Quran),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baginya</w:t>
      </w:r>
      <w:proofErr w:type="spellEnd"/>
      <w:r>
        <w:t xml:space="preserve"> </w:t>
      </w:r>
      <w:proofErr w:type="spellStart"/>
      <w:r>
        <w:t>cahaya</w:t>
      </w:r>
      <w:proofErr w:type="spellEnd"/>
      <w:r>
        <w:t>.” (HR. Ad-</w:t>
      </w:r>
      <w:proofErr w:type="spellStart"/>
      <w:r>
        <w:t>Darimi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Ibn Abbas)</w:t>
      </w:r>
    </w:p>
    <w:p w14:paraId="4394D007" w14:textId="77777777" w:rsidR="00FB2A00" w:rsidRDefault="00FB2A00">
      <w:pPr>
        <w:ind w:leftChars="400" w:left="800"/>
        <w:jc w:val="both"/>
        <w:rPr>
          <w:rFonts w:ascii="Times New Roman" w:hAnsi="Times New Roman" w:cs="Times New Roman"/>
          <w:sz w:val="24"/>
          <w:szCs w:val="24"/>
        </w:rPr>
      </w:pPr>
    </w:p>
    <w:p w14:paraId="3EFD75A2" w14:textId="77777777" w:rsidR="00FB2A00" w:rsidRDefault="00000000">
      <w:pPr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Memperhatikan</w:t>
      </w:r>
      <w:proofErr w:type="spellEnd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:</w:t>
      </w:r>
    </w:p>
    <w:p w14:paraId="1C96A092" w14:textId="77777777" w:rsidR="00FB2A00" w:rsidRDefault="00000000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Pendapat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ulama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Fiqih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Fuqoha</w:t>
      </w:r>
      <w:proofErr w:type="spellEnd"/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’</w:t>
      </w:r>
      <w:r>
        <w:rPr>
          <w:rFonts w:ascii="Cambria" w:eastAsia="Cambria" w:hAnsi="Cambria" w:cs="Cambria"/>
          <w:color w:val="000000"/>
          <w:sz w:val="24"/>
          <w:szCs w:val="24"/>
        </w:rPr>
        <w:t>);</w:t>
      </w:r>
    </w:p>
    <w:p w14:paraId="599AB6E9" w14:textId="77777777" w:rsidR="00FB2A00" w:rsidRDefault="00FB2A00">
      <w:pPr>
        <w:ind w:leftChars="34" w:left="68"/>
        <w:jc w:val="both"/>
        <w:rPr>
          <w:rFonts w:ascii="Times New Roman" w:hAnsi="Times New Roman" w:cs="Times New Roman"/>
          <w:sz w:val="24"/>
          <w:szCs w:val="24"/>
          <w:rtl/>
          <w:cs/>
        </w:rPr>
      </w:pPr>
    </w:p>
    <w:p w14:paraId="1F67F97D" w14:textId="77777777" w:rsidR="00FB2A00" w:rsidRDefault="00000000">
      <w:pPr>
        <w:numPr>
          <w:ilvl w:val="0"/>
          <w:numId w:val="5"/>
        </w:numPr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bin Muhammad Ad-</w:t>
      </w:r>
      <w:proofErr w:type="spellStart"/>
      <w:r>
        <w:rPr>
          <w:rFonts w:ascii="Times New Roman" w:hAnsi="Times New Roman" w:cs="Times New Roman"/>
          <w:sz w:val="24"/>
          <w:szCs w:val="24"/>
        </w:rPr>
        <w:t>Dhabba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Fathul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Mannan fi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Adabi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Hamalatil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Qur'an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:</w:t>
      </w:r>
    </w:p>
    <w:p w14:paraId="72DAF903" w14:textId="77777777" w:rsidR="00FB2A00" w:rsidRDefault="00000000">
      <w:pPr>
        <w:bidi/>
        <w:jc w:val="both"/>
      </w:pP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وينبغي لهم تعظيم قرائه واحترامهم والقيام بمصالحهم والتأدب في حقهم كما يتأدب في حضرة النبي صلى الله عليه وسلم لو كان موجودا لأنهم ورثوه كما تلقى من الحضرة النبوية </w:t>
      </w:r>
      <w:r>
        <w:t xml:space="preserve">  </w:t>
      </w:r>
    </w:p>
    <w:p w14:paraId="558FE8AA" w14:textId="77777777" w:rsidR="00FB2A00" w:rsidRDefault="000000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Al-Qur'an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mengagungkan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memuliakannya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Nabi saw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Al-Qur'an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Al-Qur'an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Nabi saw.”</w:t>
      </w:r>
    </w:p>
    <w:p w14:paraId="0CDDB646" w14:textId="77777777" w:rsidR="00FB2A00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rtl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Pendapat </w:t>
      </w:r>
    </w:p>
    <w:p w14:paraId="30A66037" w14:textId="77777777" w:rsidR="00FB2A00" w:rsidRDefault="00FB2A00">
      <w:pPr>
        <w:jc w:val="both"/>
        <w:rPr>
          <w:rFonts w:ascii="Times New Roman" w:hAnsi="Times New Roman"/>
          <w:sz w:val="24"/>
          <w:szCs w:val="24"/>
          <w:rtl/>
        </w:rPr>
      </w:pPr>
    </w:p>
    <w:p w14:paraId="79C5EE13" w14:textId="77777777" w:rsidR="00FB2A00" w:rsidRDefault="00000000">
      <w:pPr>
        <w:numPr>
          <w:ilvl w:val="0"/>
          <w:numId w:val="5"/>
        </w:numPr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Muhammad bin Salim bin Sa'id Babashil As-</w:t>
      </w:r>
      <w:proofErr w:type="spellStart"/>
      <w:r>
        <w:rPr>
          <w:rFonts w:ascii="Times New Roman" w:hAnsi="Times New Roman" w:cs="Times New Roman"/>
          <w:sz w:val="24"/>
          <w:szCs w:val="24"/>
        </w:rPr>
        <w:t>Syafi'I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Is'adur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Rafiq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Bughyatut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Tashdiq,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Al-Quran.</w:t>
      </w:r>
    </w:p>
    <w:p w14:paraId="394B55C6" w14:textId="77777777" w:rsidR="00FB2A00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ومنها الاستهانة بما عظم الله والتصغير لما عظم الله من </w:t>
      </w:r>
      <w:r>
        <w:rPr>
          <w:rFonts w:ascii="Traditional Arabic" w:hAnsi="Traditional Arabic" w:cs="Traditional Arabic"/>
          <w:sz w:val="32"/>
          <w:szCs w:val="32"/>
        </w:rPr>
        <w:t> 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طاعة أو معصية </w:t>
      </w:r>
      <w:r>
        <w:rPr>
          <w:rFonts w:ascii="Traditional Arabic" w:hAnsi="Traditional Arabic" w:cs="Traditional Arabic"/>
          <w:sz w:val="32"/>
          <w:szCs w:val="32"/>
        </w:rPr>
        <w:t> 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أو قرآن أو علم أو جنة أو نار فكل ذلك من المعاصي الموبقات المهلكات بل بعضها إذا قصد به الاستهزاء يجر إلى الكفر، والعياذ بالله من ذلك </w:t>
      </w:r>
      <w:r>
        <w:rPr>
          <w:rFonts w:ascii="Traditional Arabic" w:hAnsi="Traditional Arabic" w:cs="Traditional Arabic"/>
          <w:sz w:val="32"/>
          <w:szCs w:val="32"/>
        </w:rPr>
        <w:t xml:space="preserve">  </w:t>
      </w:r>
    </w:p>
    <w:p w14:paraId="1A2664F9" w14:textId="77777777" w:rsidR="00FB2A00" w:rsidRDefault="000000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Allah,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Allah,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Al-Qur'an,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menertawakan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kekufuran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4DFC6857" w14:textId="77777777" w:rsidR="00FB2A00" w:rsidRDefault="00FB2A00">
      <w:pPr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673BC12C" w14:textId="77777777" w:rsidR="00FB2A00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rtl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Imam Jalaluddin As-</w:t>
      </w:r>
      <w:proofErr w:type="spellStart"/>
      <w:r>
        <w:rPr>
          <w:rFonts w:ascii="Times New Roman" w:hAnsi="Times New Roman" w:cs="Times New Roman"/>
          <w:sz w:val="24"/>
          <w:szCs w:val="24"/>
        </w:rPr>
        <w:t>Suyuthi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r>
        <w:rPr>
          <w:rFonts w:ascii="Times New Roman" w:hAnsi="Times New Roman" w:cs="Times New Roman"/>
          <w:i/>
          <w:iCs/>
          <w:sz w:val="24"/>
          <w:szCs w:val="24"/>
        </w:rPr>
        <w:t>Al-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itqan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al-Qur’an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381,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kesunnahan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dilantunkan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kegaduhan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6EA094" w14:textId="77777777" w:rsidR="00FB2A00" w:rsidRDefault="00000000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يُسَنُّ الِاسْتِمَاعُ لِقِرَاءَةِ الْقُرْآنِ وَتَرْكُ اللَّغَطِ وَالْحَدِيثِ بِحُضُورِ الْقِرَاءَةِ قَالَ تَعَالَى </w:t>
      </w:r>
      <w:r>
        <w:rPr>
          <w:rFonts w:ascii="Traditional Arabic" w:hAnsi="Traditional Arabic" w:cs="Traditional Arabic"/>
          <w:sz w:val="32"/>
          <w:szCs w:val="32"/>
          <w:rtl/>
        </w:rPr>
        <w:t>{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وَإِذَا قُرِئَ الْقُرْآنُ فَاسْتَمِعُوا لَهُ وَأَنْصِتُوا لَعَلَّكُمْ</w:t>
      </w:r>
      <w:r>
        <w:rPr>
          <w:rFonts w:ascii="Traditional Arabic" w:hAnsi="Traditional Arabic" w:cs="Traditional Arabic"/>
          <w:sz w:val="32"/>
          <w:szCs w:val="32"/>
          <w:rtl/>
        </w:rPr>
        <w:t>} .</w:t>
      </w:r>
    </w:p>
    <w:p w14:paraId="011347AE" w14:textId="77777777" w:rsidR="00FB2A00" w:rsidRDefault="00000000">
      <w:pPr>
        <w:pStyle w:val="NormalWeb"/>
        <w:ind w:firstLine="720"/>
        <w:jc w:val="both"/>
      </w:pPr>
      <w:proofErr w:type="spellStart"/>
      <w:r>
        <w:t>Artinya</w:t>
      </w:r>
      <w:proofErr w:type="spellEnd"/>
      <w:r>
        <w:t xml:space="preserve"> : “</w:t>
      </w:r>
      <w:proofErr w:type="spellStart"/>
      <w:r>
        <w:t>Disunnahkan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mendengarkan</w:t>
      </w:r>
      <w:proofErr w:type="spellEnd"/>
      <w:r>
        <w:t xml:space="preserve"> al-Qur’an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gaduh</w:t>
      </w:r>
      <w:proofErr w:type="spellEnd"/>
      <w:r>
        <w:t xml:space="preserve"> dan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Karena Allah </w:t>
      </w:r>
      <w:proofErr w:type="spellStart"/>
      <w:r>
        <w:t>berfirman</w:t>
      </w:r>
      <w:proofErr w:type="spellEnd"/>
      <w:r>
        <w:t xml:space="preserve">: Dan </w:t>
      </w:r>
      <w:proofErr w:type="spellStart"/>
      <w:r>
        <w:t>ketika</w:t>
      </w:r>
      <w:proofErr w:type="spellEnd"/>
      <w:r>
        <w:t xml:space="preserve"> Al-</w:t>
      </w:r>
      <w:r>
        <w:lastRenderedPageBreak/>
        <w:t xml:space="preserve">Qur’an </w:t>
      </w:r>
      <w:proofErr w:type="spellStart"/>
      <w:r>
        <w:t>dibacakan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dengarkanlah</w:t>
      </w:r>
      <w:proofErr w:type="spellEnd"/>
      <w:r>
        <w:t xml:space="preserve">. Agar </w:t>
      </w:r>
      <w:proofErr w:type="spellStart"/>
      <w:r>
        <w:t>supaya</w:t>
      </w:r>
      <w:proofErr w:type="spellEnd"/>
      <w:r>
        <w:t xml:space="preserve"> kalian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>”.(Al-</w:t>
      </w:r>
      <w:proofErr w:type="spellStart"/>
      <w:r>
        <w:t>itqan</w:t>
      </w:r>
      <w:proofErr w:type="spellEnd"/>
      <w:r>
        <w:t xml:space="preserve"> fi </w:t>
      </w:r>
      <w:proofErr w:type="spellStart"/>
      <w:r>
        <w:t>ulum</w:t>
      </w:r>
      <w:proofErr w:type="spellEnd"/>
      <w:r>
        <w:t xml:space="preserve"> al-Qur’an https://shamela.ws/book/11728/374 </w:t>
      </w:r>
      <w:proofErr w:type="spellStart"/>
      <w:r>
        <w:t>Juz</w:t>
      </w:r>
      <w:proofErr w:type="spellEnd"/>
      <w:r>
        <w:t xml:space="preserve"> 1 H. 381)</w:t>
      </w:r>
    </w:p>
    <w:p w14:paraId="5BB17FB4" w14:textId="77777777" w:rsidR="00FB2A00" w:rsidRDefault="00000000">
      <w:pPr>
        <w:pStyle w:val="NormalWeb"/>
        <w:numPr>
          <w:ilvl w:val="0"/>
          <w:numId w:val="5"/>
        </w:numPr>
        <w:jc w:val="both"/>
        <w:rPr>
          <w:rtl/>
        </w:rPr>
      </w:pPr>
      <w:r>
        <w:rPr>
          <w:rStyle w:val="NormalWebChar"/>
        </w:rPr>
        <w:t>Zainuddin Al-</w:t>
      </w:r>
      <w:proofErr w:type="spellStart"/>
      <w:r>
        <w:rPr>
          <w:rStyle w:val="NormalWebChar"/>
        </w:rPr>
        <w:t>Malibari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dalam</w:t>
      </w:r>
      <w:proofErr w:type="spellEnd"/>
      <w:r>
        <w:rPr>
          <w:rStyle w:val="NormalWebChar"/>
        </w:rPr>
        <w:t xml:space="preserve"> kitab</w:t>
      </w:r>
      <w:r>
        <w:rPr>
          <w:rStyle w:val="NormalWebChar"/>
          <w:i/>
          <w:iCs/>
        </w:rPr>
        <w:t xml:space="preserve"> </w:t>
      </w:r>
      <w:hyperlink r:id="rId10" w:tgtFrame="https://bincangsyariah.com/hukum-islam/ubudiyah/hukum-nyawer-qoriah/_blank" w:history="1">
        <w:r>
          <w:rPr>
            <w:rStyle w:val="NormalWebChar"/>
            <w:i/>
            <w:iCs/>
          </w:rPr>
          <w:t>Fath Al-</w:t>
        </w:r>
        <w:proofErr w:type="spellStart"/>
        <w:r>
          <w:rPr>
            <w:rStyle w:val="NormalWebChar"/>
            <w:i/>
            <w:iCs/>
          </w:rPr>
          <w:t>Mu'in</w:t>
        </w:r>
        <w:proofErr w:type="spellEnd"/>
      </w:hyperlink>
      <w:r>
        <w:rPr>
          <w:rStyle w:val="NormalWebChar"/>
        </w:rPr>
        <w:t xml:space="preserve">, H. 376, </w:t>
      </w:r>
      <w:proofErr w:type="spellStart"/>
      <w:r>
        <w:rPr>
          <w:rStyle w:val="NormalWebChar"/>
        </w:rPr>
        <w:t>tentang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kutipan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pendapat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gurunya</w:t>
      </w:r>
      <w:proofErr w:type="spellEnd"/>
      <w:r>
        <w:rPr>
          <w:rStyle w:val="NormalWebChar"/>
        </w:rPr>
        <w:t xml:space="preserve">, </w:t>
      </w:r>
      <w:proofErr w:type="spellStart"/>
      <w:r>
        <w:rPr>
          <w:rStyle w:val="NormalWebChar"/>
        </w:rPr>
        <w:t>bahwa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boleh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memberikan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  <w:i/>
          <w:iCs/>
        </w:rPr>
        <w:t>ujroh</w:t>
      </w:r>
      <w:proofErr w:type="spellEnd"/>
      <w:r>
        <w:rPr>
          <w:rStyle w:val="NormalWebChar"/>
          <w:i/>
          <w:iCs/>
        </w:rPr>
        <w:t xml:space="preserve"> </w:t>
      </w:r>
      <w:r>
        <w:rPr>
          <w:rStyle w:val="NormalWebChar"/>
        </w:rPr>
        <w:t>(</w:t>
      </w:r>
      <w:proofErr w:type="spellStart"/>
      <w:r>
        <w:rPr>
          <w:rStyle w:val="NormalWebChar"/>
        </w:rPr>
        <w:t>ongkos</w:t>
      </w:r>
      <w:proofErr w:type="spellEnd"/>
      <w:r>
        <w:rPr>
          <w:rStyle w:val="NormalWebChar"/>
        </w:rPr>
        <w:t xml:space="preserve">) </w:t>
      </w:r>
      <w:proofErr w:type="spellStart"/>
      <w:r>
        <w:rPr>
          <w:rStyle w:val="NormalWebChar"/>
        </w:rPr>
        <w:t>untuk</w:t>
      </w:r>
      <w:proofErr w:type="spellEnd"/>
      <w:r>
        <w:rPr>
          <w:rStyle w:val="NormalWebChar"/>
        </w:rPr>
        <w:t xml:space="preserve"> orang yang </w:t>
      </w:r>
      <w:proofErr w:type="spellStart"/>
      <w:r>
        <w:rPr>
          <w:rStyle w:val="NormalWebChar"/>
        </w:rPr>
        <w:t>membaca</w:t>
      </w:r>
      <w:proofErr w:type="spellEnd"/>
      <w:r>
        <w:rPr>
          <w:rStyle w:val="NormalWebChar"/>
        </w:rPr>
        <w:t xml:space="preserve"> Al-Quran, </w:t>
      </w:r>
      <w:proofErr w:type="spellStart"/>
      <w:r>
        <w:rPr>
          <w:rStyle w:val="NormalWebChar"/>
        </w:rPr>
        <w:t>dengan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catatan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tetap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memuliakan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pembacanya</w:t>
      </w:r>
      <w:proofErr w:type="spellEnd"/>
      <w:r>
        <w:rPr>
          <w:rStyle w:val="NormalWebChar"/>
        </w:rPr>
        <w:t>.</w:t>
      </w:r>
    </w:p>
    <w:p w14:paraId="437CFDA6" w14:textId="77777777" w:rsidR="00FB2A00" w:rsidRDefault="00000000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قال شيخنا في شرح المنهاج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يصح الاستئجار لقراءة القرآن عند القبر أو مع الدعاء بمثل ما حصل له من الاجر له أو لغيره عقبها</w:t>
      </w:r>
    </w:p>
    <w:p w14:paraId="2D1BA5C5" w14:textId="77777777" w:rsidR="00FB2A00" w:rsidRDefault="00000000">
      <w:pPr>
        <w:pStyle w:val="NormalWeb"/>
        <w:ind w:firstLine="720"/>
        <w:jc w:val="both"/>
        <w:rPr>
          <w:rtl/>
        </w:rPr>
      </w:pPr>
      <w:proofErr w:type="spellStart"/>
      <w:r>
        <w:t>Artinya</w:t>
      </w:r>
      <w:proofErr w:type="spellEnd"/>
      <w:r>
        <w:t xml:space="preserve"> : “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guru kami yang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anotasinya</w:t>
      </w:r>
      <w:proofErr w:type="spellEnd"/>
      <w:r>
        <w:t xml:space="preserve"> pada kitab Minhaj al-</w:t>
      </w:r>
      <w:proofErr w:type="spellStart"/>
      <w:r>
        <w:t>Thalibin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menyewa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al-</w:t>
      </w:r>
      <w:proofErr w:type="spellStart"/>
      <w:r>
        <w:t>quran</w:t>
      </w:r>
      <w:proofErr w:type="spellEnd"/>
      <w:r>
        <w:t xml:space="preserve">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kuburannya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mendoakannnya</w:t>
      </w:r>
      <w:proofErr w:type="spellEnd"/>
      <w:r>
        <w:t xml:space="preserve">. Dan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upah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pembacaannya</w:t>
      </w:r>
      <w:proofErr w:type="spellEnd"/>
      <w:r>
        <w:t xml:space="preserve">,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mayyit</w:t>
      </w:r>
      <w:proofErr w:type="spellEnd"/>
      <w:r>
        <w:t>.”</w:t>
      </w:r>
      <w:r>
        <w:rPr>
          <w:rStyle w:val="NormalWebChar"/>
        </w:rPr>
        <w:t xml:space="preserve"> </w:t>
      </w:r>
    </w:p>
    <w:p w14:paraId="18B32F97" w14:textId="77777777" w:rsidR="00FB2A00" w:rsidRDefault="00000000">
      <w:pPr>
        <w:pStyle w:val="NormalWeb"/>
        <w:numPr>
          <w:ilvl w:val="0"/>
          <w:numId w:val="5"/>
        </w:numPr>
        <w:jc w:val="both"/>
        <w:rPr>
          <w:rStyle w:val="NormalWebChar"/>
        </w:rPr>
      </w:pPr>
      <w:proofErr w:type="spellStart"/>
      <w:r>
        <w:rPr>
          <w:rStyle w:val="NormalWebChar"/>
        </w:rPr>
        <w:t>Pendapat</w:t>
      </w:r>
      <w:proofErr w:type="spellEnd"/>
      <w:r>
        <w:rPr>
          <w:rStyle w:val="NormalWebChar"/>
        </w:rPr>
        <w:t xml:space="preserve"> Imam Nawawi </w:t>
      </w:r>
      <w:proofErr w:type="spellStart"/>
      <w:r>
        <w:rPr>
          <w:rStyle w:val="NormalWebChar"/>
        </w:rPr>
        <w:t>dalam</w:t>
      </w:r>
      <w:proofErr w:type="spellEnd"/>
      <w:r>
        <w:rPr>
          <w:rStyle w:val="NormalWebChar"/>
        </w:rPr>
        <w:t xml:space="preserve"> kitab </w:t>
      </w:r>
      <w:r>
        <w:rPr>
          <w:rStyle w:val="NormalWebChar"/>
          <w:i/>
          <w:iCs/>
        </w:rPr>
        <w:t>At-</w:t>
      </w:r>
      <w:proofErr w:type="spellStart"/>
      <w:r>
        <w:rPr>
          <w:rStyle w:val="NormalWebChar"/>
          <w:i/>
          <w:iCs/>
        </w:rPr>
        <w:t>Tibyan</w:t>
      </w:r>
      <w:proofErr w:type="spellEnd"/>
      <w:r>
        <w:rPr>
          <w:rStyle w:val="NormalWebChar"/>
          <w:i/>
          <w:iCs/>
        </w:rPr>
        <w:t xml:space="preserve"> fi </w:t>
      </w:r>
      <w:proofErr w:type="spellStart"/>
      <w:r>
        <w:rPr>
          <w:rStyle w:val="NormalWebChar"/>
          <w:i/>
          <w:iCs/>
        </w:rPr>
        <w:t>Adabi</w:t>
      </w:r>
      <w:proofErr w:type="spellEnd"/>
      <w:r>
        <w:rPr>
          <w:rStyle w:val="NormalWebChar"/>
          <w:i/>
          <w:iCs/>
        </w:rPr>
        <w:t xml:space="preserve"> </w:t>
      </w:r>
      <w:proofErr w:type="spellStart"/>
      <w:r>
        <w:rPr>
          <w:rStyle w:val="NormalWebChar"/>
          <w:i/>
          <w:iCs/>
        </w:rPr>
        <w:t>Hamalatil</w:t>
      </w:r>
      <w:proofErr w:type="spellEnd"/>
      <w:r>
        <w:rPr>
          <w:rStyle w:val="NormalWebChar"/>
          <w:i/>
          <w:iCs/>
        </w:rPr>
        <w:t xml:space="preserve"> Quran </w:t>
      </w:r>
      <w:proofErr w:type="spellStart"/>
      <w:r>
        <w:rPr>
          <w:rStyle w:val="NormalWebChar"/>
        </w:rPr>
        <w:t>halaman</w:t>
      </w:r>
      <w:proofErr w:type="spellEnd"/>
      <w:r>
        <w:rPr>
          <w:rStyle w:val="NormalWebChar"/>
        </w:rPr>
        <w:t xml:space="preserve"> 74, </w:t>
      </w:r>
      <w:proofErr w:type="spellStart"/>
      <w:r>
        <w:rPr>
          <w:rStyle w:val="NormalWebChar"/>
        </w:rPr>
        <w:t>tentang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kewajiban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kepada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masyarakat</w:t>
      </w:r>
      <w:proofErr w:type="spellEnd"/>
      <w:r>
        <w:rPr>
          <w:rStyle w:val="NormalWebChar"/>
        </w:rPr>
        <w:t xml:space="preserve"> yang </w:t>
      </w:r>
      <w:proofErr w:type="spellStart"/>
      <w:r>
        <w:rPr>
          <w:rStyle w:val="NormalWebChar"/>
        </w:rPr>
        <w:t>hadir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untuk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mencegah</w:t>
      </w:r>
      <w:proofErr w:type="spellEnd"/>
      <w:r>
        <w:rPr>
          <w:rStyle w:val="NormalWebChar"/>
        </w:rPr>
        <w:t xml:space="preserve"> dan </w:t>
      </w:r>
      <w:proofErr w:type="spellStart"/>
      <w:r>
        <w:rPr>
          <w:rStyle w:val="NormalWebChar"/>
        </w:rPr>
        <w:t>menegur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segala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bentuk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kemungkaran</w:t>
      </w:r>
      <w:proofErr w:type="spellEnd"/>
      <w:r>
        <w:rPr>
          <w:rStyle w:val="NormalWebChar"/>
        </w:rPr>
        <w:t xml:space="preserve"> yang </w:t>
      </w:r>
      <w:proofErr w:type="spellStart"/>
      <w:r>
        <w:rPr>
          <w:rStyle w:val="NormalWebChar"/>
        </w:rPr>
        <w:t>hadir</w:t>
      </w:r>
      <w:proofErr w:type="spellEnd"/>
      <w:r>
        <w:rPr>
          <w:rStyle w:val="NormalWebChar"/>
        </w:rPr>
        <w:t xml:space="preserve"> di Majlis Al-Quran, </w:t>
      </w:r>
      <w:proofErr w:type="spellStart"/>
      <w:r>
        <w:rPr>
          <w:rStyle w:val="NormalWebChar"/>
        </w:rPr>
        <w:t>seperti</w:t>
      </w:r>
      <w:proofErr w:type="spellEnd"/>
      <w:r>
        <w:rPr>
          <w:rStyle w:val="NormalWebChar"/>
        </w:rPr>
        <w:t xml:space="preserve"> "</w:t>
      </w:r>
      <w:proofErr w:type="spellStart"/>
      <w:r>
        <w:rPr>
          <w:rStyle w:val="NormalWebChar"/>
        </w:rPr>
        <w:t>sawer</w:t>
      </w:r>
      <w:proofErr w:type="spellEnd"/>
      <w:r>
        <w:rPr>
          <w:rStyle w:val="NormalWebChar"/>
        </w:rPr>
        <w:t xml:space="preserve">" </w:t>
      </w:r>
      <w:proofErr w:type="spellStart"/>
      <w:r>
        <w:rPr>
          <w:rStyle w:val="NormalWebChar"/>
        </w:rPr>
        <w:t>terhadap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  <w:i/>
          <w:iCs/>
        </w:rPr>
        <w:t>Qari'ah</w:t>
      </w:r>
      <w:proofErr w:type="spellEnd"/>
      <w:r>
        <w:rPr>
          <w:rStyle w:val="NormalWebChar"/>
          <w:i/>
          <w:iCs/>
        </w:rPr>
        <w:t xml:space="preserve"> </w:t>
      </w:r>
      <w:proofErr w:type="spellStart"/>
      <w:r>
        <w:rPr>
          <w:rStyle w:val="NormalWebChar"/>
        </w:rPr>
        <w:t>dengan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cara</w:t>
      </w:r>
      <w:proofErr w:type="spellEnd"/>
      <w:r>
        <w:rPr>
          <w:rStyle w:val="NormalWebChar"/>
        </w:rPr>
        <w:t xml:space="preserve"> yang </w:t>
      </w:r>
      <w:proofErr w:type="spellStart"/>
      <w:r>
        <w:rPr>
          <w:rStyle w:val="NormalWebChar"/>
        </w:rPr>
        <w:t>diharamkan</w:t>
      </w:r>
      <w:proofErr w:type="spellEnd"/>
      <w:r>
        <w:rPr>
          <w:rStyle w:val="NormalWebChar"/>
        </w:rPr>
        <w:t>.</w:t>
      </w:r>
    </w:p>
    <w:p w14:paraId="2D357019" w14:textId="77777777" w:rsidR="00FB2A00" w:rsidRDefault="00000000">
      <w:pPr>
        <w:pStyle w:val="NormalWeb"/>
        <w:bidi/>
        <w:jc w:val="both"/>
        <w:rPr>
          <w:rStyle w:val="NormalWebChar"/>
          <w:rFonts w:ascii="Traditional Arabic" w:hAnsi="Traditional Arabic" w:cs="Traditional Arabic"/>
          <w:sz w:val="32"/>
          <w:szCs w:val="32"/>
          <w:rtl/>
        </w:rPr>
      </w:pPr>
      <w:r>
        <w:rPr>
          <w:rStyle w:val="NormalWebChar"/>
          <w:rFonts w:ascii="Traditional Arabic" w:hAnsi="Traditional Arabic" w:cs="Traditional Arabic" w:hint="cs"/>
          <w:sz w:val="32"/>
          <w:szCs w:val="32"/>
          <w:rtl/>
        </w:rPr>
        <w:t xml:space="preserve">وعلى الحاصرين مجلس القراءة اذا رأوا شيئا من هذه المنكرات المذكورة أو غيرها أن ينهوا عنه على حسب الامكان باليد لمن قدر , وباللسان لمن عجز عن اليد وقدر على اللسان , والا فلينكر بقلبه, والله أعلم </w:t>
      </w:r>
    </w:p>
    <w:p w14:paraId="761A4A6B" w14:textId="77777777" w:rsidR="00FB2A00" w:rsidRDefault="00000000">
      <w:pPr>
        <w:pStyle w:val="NormalWeb"/>
        <w:ind w:firstLineChars="409" w:firstLine="982"/>
        <w:jc w:val="both"/>
        <w:rPr>
          <w:rStyle w:val="NormalWebChar"/>
        </w:rPr>
      </w:pPr>
      <w:r>
        <w:rPr>
          <w:rStyle w:val="NormalWebChar"/>
          <w:rtl/>
        </w:rPr>
        <w:t xml:space="preserve"> </w:t>
      </w:r>
      <w:r>
        <w:rPr>
          <w:rStyle w:val="NormalWebChar"/>
          <w:lang w:val="id-ID"/>
        </w:rPr>
        <w:t>“A</w:t>
      </w:r>
      <w:proofErr w:type="spellStart"/>
      <w:r>
        <w:rPr>
          <w:rStyle w:val="NormalWebChar"/>
        </w:rPr>
        <w:t>rtinya</w:t>
      </w:r>
      <w:proofErr w:type="spellEnd"/>
      <w:r>
        <w:rPr>
          <w:rStyle w:val="NormalWebChar"/>
        </w:rPr>
        <w:t xml:space="preserve"> “</w:t>
      </w:r>
      <w:proofErr w:type="spellStart"/>
      <w:r>
        <w:rPr>
          <w:rStyle w:val="NormalWebChar"/>
        </w:rPr>
        <w:t>Diwajibkan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terhadap</w:t>
      </w:r>
      <w:proofErr w:type="spellEnd"/>
      <w:r>
        <w:rPr>
          <w:rStyle w:val="NormalWebChar"/>
        </w:rPr>
        <w:t xml:space="preserve"> orang-orang yang </w:t>
      </w:r>
      <w:proofErr w:type="spellStart"/>
      <w:r>
        <w:rPr>
          <w:rStyle w:val="NormalWebChar"/>
        </w:rPr>
        <w:t>hadir</w:t>
      </w:r>
      <w:proofErr w:type="spellEnd"/>
      <w:r>
        <w:rPr>
          <w:rStyle w:val="NormalWebChar"/>
        </w:rPr>
        <w:t xml:space="preserve"> di majlis Al-Quran, </w:t>
      </w:r>
      <w:proofErr w:type="spellStart"/>
      <w:r>
        <w:rPr>
          <w:rStyle w:val="NormalWebChar"/>
        </w:rPr>
        <w:t>apabila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melihat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sesuatu</w:t>
      </w:r>
      <w:proofErr w:type="spellEnd"/>
      <w:r>
        <w:rPr>
          <w:rStyle w:val="NormalWebChar"/>
        </w:rPr>
        <w:t xml:space="preserve"> yang </w:t>
      </w:r>
      <w:proofErr w:type="spellStart"/>
      <w:r>
        <w:rPr>
          <w:rStyle w:val="NormalWebChar"/>
        </w:rPr>
        <w:t>mungkar</w:t>
      </w:r>
      <w:proofErr w:type="spellEnd"/>
      <w:r>
        <w:rPr>
          <w:rStyle w:val="NormalWebChar"/>
        </w:rPr>
        <w:t xml:space="preserve">, </w:t>
      </w:r>
      <w:proofErr w:type="spellStart"/>
      <w:r>
        <w:rPr>
          <w:rStyle w:val="NormalWebChar"/>
        </w:rPr>
        <w:t>untuk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menolak</w:t>
      </w:r>
      <w:proofErr w:type="spellEnd"/>
      <w:r>
        <w:rPr>
          <w:rStyle w:val="NormalWebChar"/>
        </w:rPr>
        <w:t xml:space="preserve">, </w:t>
      </w:r>
      <w:proofErr w:type="spellStart"/>
      <w:r>
        <w:rPr>
          <w:rStyle w:val="NormalWebChar"/>
        </w:rPr>
        <w:t>mencegah</w:t>
      </w:r>
      <w:proofErr w:type="spellEnd"/>
      <w:r>
        <w:rPr>
          <w:rStyle w:val="NormalWebChar"/>
        </w:rPr>
        <w:t xml:space="preserve">, dan </w:t>
      </w:r>
      <w:proofErr w:type="spellStart"/>
      <w:r>
        <w:rPr>
          <w:rStyle w:val="NormalWebChar"/>
        </w:rPr>
        <w:t>menegur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dengan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sebisa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mungkin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dengan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menggunakan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tindakan</w:t>
      </w:r>
      <w:proofErr w:type="spellEnd"/>
      <w:r>
        <w:rPr>
          <w:rStyle w:val="NormalWebChar"/>
        </w:rPr>
        <w:t xml:space="preserve"> (</w:t>
      </w:r>
      <w:proofErr w:type="spellStart"/>
      <w:r>
        <w:rPr>
          <w:rStyle w:val="NormalWebChar"/>
          <w:i/>
          <w:iCs/>
        </w:rPr>
        <w:t>bil</w:t>
      </w:r>
      <w:proofErr w:type="spellEnd"/>
      <w:r>
        <w:rPr>
          <w:rStyle w:val="NormalWebChar"/>
          <w:i/>
          <w:iCs/>
        </w:rPr>
        <w:t xml:space="preserve"> yad</w:t>
      </w:r>
      <w:r>
        <w:rPr>
          <w:rStyle w:val="NormalWebChar"/>
        </w:rPr>
        <w:t xml:space="preserve">) </w:t>
      </w:r>
      <w:proofErr w:type="spellStart"/>
      <w:r>
        <w:rPr>
          <w:rStyle w:val="NormalWebChar"/>
        </w:rPr>
        <w:t>jika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mampu</w:t>
      </w:r>
      <w:proofErr w:type="spellEnd"/>
      <w:r>
        <w:rPr>
          <w:rStyle w:val="NormalWebChar"/>
        </w:rPr>
        <w:t xml:space="preserve">, dan </w:t>
      </w:r>
      <w:proofErr w:type="spellStart"/>
      <w:r>
        <w:rPr>
          <w:rStyle w:val="NormalWebChar"/>
        </w:rPr>
        <w:t>dengan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menggunakan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lisan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bagi</w:t>
      </w:r>
      <w:proofErr w:type="spellEnd"/>
      <w:r>
        <w:rPr>
          <w:rStyle w:val="NormalWebChar"/>
        </w:rPr>
        <w:t xml:space="preserve"> yang </w:t>
      </w:r>
      <w:proofErr w:type="spellStart"/>
      <w:r>
        <w:rPr>
          <w:rStyle w:val="NormalWebChar"/>
        </w:rPr>
        <w:t>tidak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mampu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menggunakan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tindakan</w:t>
      </w:r>
      <w:proofErr w:type="spellEnd"/>
      <w:r>
        <w:rPr>
          <w:rStyle w:val="NormalWebChar"/>
        </w:rPr>
        <w:t xml:space="preserve">. Jika </w:t>
      </w:r>
      <w:proofErr w:type="spellStart"/>
      <w:r>
        <w:rPr>
          <w:rStyle w:val="NormalWebChar"/>
        </w:rPr>
        <w:t>tidak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bisa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keduanya</w:t>
      </w:r>
      <w:proofErr w:type="spellEnd"/>
      <w:r>
        <w:rPr>
          <w:rStyle w:val="NormalWebChar"/>
        </w:rPr>
        <w:t xml:space="preserve">, </w:t>
      </w:r>
      <w:proofErr w:type="spellStart"/>
      <w:r>
        <w:rPr>
          <w:rStyle w:val="NormalWebChar"/>
        </w:rPr>
        <w:t>maka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wajib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ingkar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dengan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menggunakan</w:t>
      </w:r>
      <w:proofErr w:type="spellEnd"/>
      <w:r>
        <w:rPr>
          <w:rStyle w:val="NormalWebChar"/>
        </w:rPr>
        <w:t xml:space="preserve"> </w:t>
      </w:r>
      <w:proofErr w:type="spellStart"/>
      <w:r>
        <w:rPr>
          <w:rStyle w:val="NormalWebChar"/>
        </w:rPr>
        <w:t>hatinya</w:t>
      </w:r>
      <w:proofErr w:type="spellEnd"/>
      <w:r>
        <w:rPr>
          <w:rStyle w:val="NormalWebChar"/>
        </w:rPr>
        <w:t>."</w:t>
      </w:r>
    </w:p>
    <w:p w14:paraId="69A5D4D1" w14:textId="77777777" w:rsidR="00FB2A00" w:rsidRDefault="00000000">
      <w:pPr>
        <w:pStyle w:val="NormalWeb"/>
        <w:numPr>
          <w:ilvl w:val="0"/>
          <w:numId w:val="5"/>
        </w:numPr>
        <w:jc w:val="both"/>
        <w:rPr>
          <w:rStyle w:val="NormalWebChar"/>
          <w:rtl/>
          <w:lang w:val="id-ID"/>
        </w:rPr>
      </w:pPr>
      <w:r>
        <w:rPr>
          <w:rStyle w:val="NormalWebChar"/>
          <w:lang w:val="id-ID"/>
        </w:rPr>
        <w:t xml:space="preserve">Pendapat Zainuddin Al-Malibari dalam kitab </w:t>
      </w:r>
      <w:r>
        <w:rPr>
          <w:rStyle w:val="NormalWebChar"/>
          <w:i/>
          <w:iCs/>
          <w:lang w:val="id-ID"/>
        </w:rPr>
        <w:t xml:space="preserve">Fathul Mu’in </w:t>
      </w:r>
      <w:r>
        <w:rPr>
          <w:rStyle w:val="NormalWebChar"/>
          <w:lang w:val="id-ID"/>
        </w:rPr>
        <w:t xml:space="preserve">halaman 495 tentang bolehnya </w:t>
      </w:r>
      <w:r>
        <w:rPr>
          <w:rStyle w:val="NormalWebChar"/>
          <w:i/>
          <w:iCs/>
          <w:lang w:val="id-ID"/>
        </w:rPr>
        <w:t xml:space="preserve">sawer </w:t>
      </w:r>
      <w:r>
        <w:rPr>
          <w:rStyle w:val="NormalWebChar"/>
          <w:lang w:val="id-ID"/>
        </w:rPr>
        <w:t xml:space="preserve">dengan tujuan menyemangati para pencari ilmu dan acara pernikahan, dengan syarat pemiliknya ridlo. </w:t>
      </w:r>
    </w:p>
    <w:p w14:paraId="19E25023" w14:textId="77777777" w:rsidR="00FB2A00" w:rsidRDefault="00000000">
      <w:pPr>
        <w:pStyle w:val="NormalWeb"/>
        <w:bidi/>
        <w:jc w:val="both"/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</w:pP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ويجوز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نثر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نحو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سكر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وتنبل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وتركه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أولى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ويحل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التقاطه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للعلم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برضا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مالكه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ويكره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أخذه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لأنه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دناءة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>.</w:t>
      </w:r>
      <w:r>
        <w:rPr>
          <w:rStyle w:val="NormalWebChar"/>
          <w:rFonts w:ascii="Traditional Arabic" w:hAnsi="Traditional Arabic" w:cs="Traditional Arabic"/>
          <w:sz w:val="32"/>
          <w:szCs w:val="32"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ويحرم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أخذ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فرخ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طير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عشش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بملك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الغير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وسمك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دخل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مع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الماء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في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t xml:space="preserve"> 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  <w:cs/>
          <w:lang w:val="id-ID"/>
        </w:rPr>
        <w:t>حوضه</w:t>
      </w:r>
    </w:p>
    <w:p w14:paraId="1A290C02" w14:textId="77777777" w:rsidR="00FB2A00" w:rsidRDefault="00000000">
      <w:pPr>
        <w:pStyle w:val="NormalWeb"/>
        <w:jc w:val="both"/>
        <w:rPr>
          <w:rStyle w:val="NormalWebChar"/>
          <w:rtl/>
          <w:cs/>
          <w:lang w:val="id-ID"/>
        </w:rPr>
      </w:pPr>
      <w:r>
        <w:rPr>
          <w:rStyle w:val="NormalWebChar"/>
          <w:lang w:val="id-ID"/>
        </w:rPr>
        <w:tab/>
        <w:t>Artinya : “Diperbolehkan menyebar semisal gula, adapun meningalkannya lebih utama. Halal mengambil saweran tersebut jika mengetahui bahwa pemiliknya ridlo akan apa yang ia miliki.”</w:t>
      </w:r>
    </w:p>
    <w:p w14:paraId="33BE7288" w14:textId="77777777" w:rsidR="00FB2A00" w:rsidRDefault="00000000">
      <w:pPr>
        <w:pStyle w:val="NormalWeb"/>
        <w:numPr>
          <w:ilvl w:val="0"/>
          <w:numId w:val="5"/>
        </w:numPr>
        <w:jc w:val="both"/>
        <w:rPr>
          <w:rStyle w:val="NormalWebChar"/>
          <w:rtl/>
          <w:cs/>
          <w:lang w:val="id-ID"/>
        </w:rPr>
      </w:pPr>
      <w:r>
        <w:rPr>
          <w:rStyle w:val="NormalWebChar"/>
          <w:lang w:val="id-ID"/>
        </w:rPr>
        <w:t xml:space="preserve">Pendapat Isma’il bin Zain dalam kitab </w:t>
      </w:r>
      <w:r>
        <w:rPr>
          <w:rStyle w:val="NormalWebChar"/>
          <w:i/>
          <w:iCs/>
          <w:lang w:val="id-ID"/>
        </w:rPr>
        <w:t xml:space="preserve">Qurotul ‘Ain bi Fatawi Ulama Al-Haromayn </w:t>
      </w:r>
      <w:r>
        <w:rPr>
          <w:rStyle w:val="NormalWebChar"/>
          <w:lang w:val="id-ID"/>
        </w:rPr>
        <w:t>halaman 10.</w:t>
      </w:r>
    </w:p>
    <w:p w14:paraId="2C3CA206" w14:textId="77777777" w:rsidR="00FB2A00" w:rsidRDefault="00000000">
      <w:pPr>
        <w:bidi/>
        <w:ind w:leftChars="-46" w:left="-92"/>
        <w:jc w:val="both"/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</w:pPr>
      <w:r>
        <w:rPr>
          <w:rStyle w:val="NormalWebChar"/>
          <w:rFonts w:ascii="Traditional Arabic" w:hAnsi="Traditional Arabic" w:cs="Traditional Arabic"/>
          <w:sz w:val="32"/>
          <w:szCs w:val="32"/>
          <w:rtl/>
          <w:lang w:val="id-ID"/>
        </w:rPr>
        <w:lastRenderedPageBreak/>
        <w:t>من</w:t>
      </w:r>
      <w:r>
        <w:rPr>
          <w:rStyle w:val="NormalWebChar"/>
          <w:rFonts w:ascii="Traditional Arabic" w:hAnsi="Traditional Arabic" w:cs="Traditional Arabic"/>
          <w:sz w:val="32"/>
          <w:szCs w:val="32"/>
          <w:rtl/>
        </w:rPr>
        <w:t xml:space="preserve"> حضر قراءة القرآن يحرم عليه الكلام و يجب عليه الاستماع ويدل عليه قوله تعالى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وَاِذَا قُرِئَ الْقُرْاٰنُ فَاسْتَمِعُوْا لَه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وَاَنْصِتُوْا لَعَلَّكُمْ تُرْحَمُوْنَ </w:t>
      </w:r>
    </w:p>
    <w:p w14:paraId="2D20991F" w14:textId="77777777" w:rsidR="00FB2A00" w:rsidRDefault="00000000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Artinya : “Barangsiaa yang menghadiri acara pembacaan Al-Quran, haram bagi yang hadir berbicara dan wajib mendengarkan bacaan Al-Quran. Hal tersebut ditunjukkan Oleh Firman Allah SWT Q.S. Al-A’raf ayat 204)”</w:t>
      </w:r>
    </w:p>
    <w:p w14:paraId="569F050A" w14:textId="77777777" w:rsidR="00FB2A00" w:rsidRDefault="00FB2A00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D91351D" w14:textId="77777777" w:rsidR="00FB2A00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MEMUTUSKAN :</w:t>
      </w:r>
    </w:p>
    <w:p w14:paraId="36AF6344" w14:textId="77777777" w:rsidR="00FB2A00" w:rsidRDefault="00FB2A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FF75B" w14:textId="77777777" w:rsidR="00FB2A00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FATWA TENTANG HUKUM SAWER TERHADAP QORI QARI’AH AL-QURAN DAN LAINNYA</w:t>
      </w:r>
    </w:p>
    <w:p w14:paraId="254114C2" w14:textId="77777777" w:rsidR="00FB2A00" w:rsidRDefault="00FB2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620E2" w14:textId="77777777" w:rsidR="00FB2A0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7E84B3D" w14:textId="77777777" w:rsidR="00FB2A00" w:rsidRDefault="00000000">
      <w:pPr>
        <w:numPr>
          <w:ilvl w:val="0"/>
          <w:numId w:val="6"/>
        </w:numPr>
        <w:ind w:leftChars="200" w:left="7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Islam;</w:t>
      </w:r>
    </w:p>
    <w:p w14:paraId="559B501B" w14:textId="77777777" w:rsidR="00FB2A00" w:rsidRDefault="00000000">
      <w:pPr>
        <w:numPr>
          <w:ilvl w:val="0"/>
          <w:numId w:val="6"/>
        </w:numPr>
        <w:ind w:leftChars="200" w:left="7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Memuliakan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25CF9B2" w14:textId="77777777" w:rsidR="00FB2A00" w:rsidRDefault="00000000">
      <w:pPr>
        <w:numPr>
          <w:ilvl w:val="0"/>
          <w:numId w:val="6"/>
        </w:numPr>
        <w:ind w:leftChars="200" w:left="7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ujroh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memuliakan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E3EBFF" w14:textId="77777777" w:rsidR="00FB2A00" w:rsidRDefault="00FB2A00">
      <w:pPr>
        <w:ind w:leftChars="34" w:left="68"/>
        <w:jc w:val="both"/>
        <w:rPr>
          <w:rFonts w:ascii="Times New Roman" w:hAnsi="Times New Roman" w:cs="Times New Roman"/>
          <w:sz w:val="24"/>
          <w:szCs w:val="24"/>
        </w:rPr>
      </w:pPr>
    </w:p>
    <w:p w14:paraId="59E1504E" w14:textId="77777777" w:rsidR="00FB2A0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Hukum :</w:t>
      </w:r>
    </w:p>
    <w:p w14:paraId="33D2A2CB" w14:textId="77777777" w:rsidR="00FB2A00" w:rsidRDefault="00000000">
      <w:pPr>
        <w:numPr>
          <w:ilvl w:val="0"/>
          <w:numId w:val="7"/>
        </w:numPr>
        <w:ind w:leftChars="200" w:left="4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sawer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(Qari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i/>
          <w:sz w:val="24"/>
          <w:szCs w:val="24"/>
        </w:rPr>
        <w:t>tafsil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BC1326" w14:textId="77777777" w:rsidR="00FB2A00" w:rsidRDefault="0000000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melemparkan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menyelipkan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HARAM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3764A1" w14:textId="77777777" w:rsidR="00FB2A00" w:rsidRDefault="0000000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pendengar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MAKRUH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C1C6DCD" w14:textId="77777777" w:rsidR="00FB2A00" w:rsidRDefault="00000000">
      <w:pPr>
        <w:numPr>
          <w:ilvl w:val="0"/>
          <w:numId w:val="7"/>
        </w:numPr>
        <w:ind w:leftChars="200" w:left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Hukum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Al-Quran,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tafsil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diperinci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14:paraId="39AD07F2" w14:textId="77777777" w:rsidR="00FB2A00" w:rsidRDefault="000000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tampil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menghafal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panggung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DIANJURKAN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16AAC7" w14:textId="77777777" w:rsidR="00FB2A00" w:rsidRDefault="000000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penyanyi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panggung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A2624C" w14:textId="77777777" w:rsidR="00FB2A00" w:rsidRDefault="00FB2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1B476" w14:textId="77777777" w:rsidR="00FB2A0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i/>
          <w:iCs/>
          <w:color w:val="000000"/>
          <w:sz w:val="24"/>
          <w:szCs w:val="24"/>
        </w:rPr>
        <w:t>Ketiga</w:t>
      </w:r>
      <w:proofErr w:type="spellEnd"/>
      <w:r>
        <w:rPr>
          <w:rFonts w:ascii="Times New Roman" w:eastAsia="Cambria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Rekomendasi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:</w:t>
      </w:r>
    </w:p>
    <w:p w14:paraId="3C94C4D8" w14:textId="77777777" w:rsidR="00FB2A00" w:rsidRDefault="00000000">
      <w:pPr>
        <w:numPr>
          <w:ilvl w:val="0"/>
          <w:numId w:val="10"/>
        </w:numPr>
        <w:ind w:leftChars="200" w:left="616" w:hangingChars="90" w:hanging="216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hadir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di majlis Al-Quran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hendaknya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mendengarkan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khusuk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berbicara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bercanda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kegaduhan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Al-Quran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dilantunkan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>;</w:t>
      </w:r>
    </w:p>
    <w:p w14:paraId="3250723A" w14:textId="77777777" w:rsidR="00FB2A00" w:rsidRDefault="00000000">
      <w:pPr>
        <w:numPr>
          <w:ilvl w:val="0"/>
          <w:numId w:val="10"/>
        </w:numPr>
        <w:ind w:leftChars="200" w:left="616" w:hangingChars="90" w:hanging="216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hadir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di majlis Al-Quran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hendaknya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menegur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sebisa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mungkin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seseorang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kemungkaran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sawer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qori'ah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diharamkan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>.</w:t>
      </w:r>
    </w:p>
    <w:p w14:paraId="533AFA27" w14:textId="77777777" w:rsidR="00FB2A00" w:rsidRDefault="00000000">
      <w:pPr>
        <w:numPr>
          <w:ilvl w:val="0"/>
          <w:numId w:val="10"/>
        </w:numPr>
        <w:ind w:leftChars="200" w:left="616" w:hangingChars="90" w:hanging="216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penitia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acara,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ayat-ayat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Al-Quran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dilantunkan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hendaknya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melarang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hadirin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sawer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pantas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>.</w:t>
      </w:r>
    </w:p>
    <w:p w14:paraId="189B9744" w14:textId="77777777" w:rsidR="00FB2A00" w:rsidRDefault="00000000">
      <w:pPr>
        <w:numPr>
          <w:ilvl w:val="0"/>
          <w:numId w:val="10"/>
        </w:numPr>
        <w:ind w:leftChars="200" w:left="616" w:hangingChars="90" w:hanging="216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panitia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siapapun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ingin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hadiah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pembaca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Al-Quran,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hendaknya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memberikannya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pembacaan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Al-Quran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>.</w:t>
      </w:r>
    </w:p>
    <w:p w14:paraId="78C340BF" w14:textId="77777777" w:rsidR="007B5F6F" w:rsidRDefault="007B5F6F" w:rsidP="007B5F6F">
      <w:pPr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5A6743D8" w14:textId="77777777" w:rsidR="007B5F6F" w:rsidRDefault="007B5F6F" w:rsidP="007B5F6F">
      <w:pPr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696B6CD0" w14:textId="77777777" w:rsidR="007B5F6F" w:rsidRDefault="007B5F6F" w:rsidP="007B5F6F">
      <w:pPr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2CBD8924" w14:textId="77777777" w:rsidR="007B5F6F" w:rsidRDefault="007B5F6F" w:rsidP="007B5F6F">
      <w:pPr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6998BB75" w14:textId="77777777" w:rsidR="007B5F6F" w:rsidRDefault="007B5F6F" w:rsidP="007B5F6F">
      <w:pPr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2406D12A" w14:textId="77777777" w:rsidR="00FB2A00" w:rsidRDefault="00000000">
      <w:pPr>
        <w:numPr>
          <w:ilvl w:val="0"/>
          <w:numId w:val="10"/>
        </w:numPr>
        <w:ind w:leftChars="200" w:left="616" w:hangingChars="90" w:hanging="216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lastRenderedPageBreak/>
        <w:t>Setiap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tokoh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hendaknya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mengedukasi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umat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hal-hal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merendahkan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Al-Quran dan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pembacanya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sawer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>.</w:t>
      </w:r>
    </w:p>
    <w:p w14:paraId="3492FA58" w14:textId="77777777" w:rsidR="00FB2A00" w:rsidRDefault="00FB2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AE3C1" w14:textId="77777777" w:rsidR="00FB2A00" w:rsidRDefault="00000000">
      <w:pPr>
        <w:bidi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: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Serang</w:t>
      </w:r>
      <w:proofErr w:type="spellEnd"/>
    </w:p>
    <w:p w14:paraId="2220182A" w14:textId="77777777" w:rsidR="00FB2A00" w:rsidRDefault="00000000">
      <w:pPr>
        <w:bidi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12 Januari 2023</w:t>
      </w:r>
    </w:p>
    <w:p w14:paraId="444BCDD0" w14:textId="77777777" w:rsidR="00FB2A00" w:rsidRDefault="00FB2A00">
      <w:pPr>
        <w:bidi/>
        <w:jc w:val="both"/>
        <w:rPr>
          <w:rFonts w:ascii="Times New Roman" w:hAnsi="Times New Roman" w:cs="Times New Roman"/>
          <w:sz w:val="24"/>
          <w:szCs w:val="24"/>
        </w:rPr>
      </w:pPr>
    </w:p>
    <w:p w14:paraId="2B237423" w14:textId="77777777" w:rsidR="00FB2A00" w:rsidRDefault="00000000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MAJELIS ULAMA INDONESIA PROV. BANTEN</w:t>
      </w:r>
    </w:p>
    <w:p w14:paraId="0A2B38D0" w14:textId="77777777" w:rsidR="00FB2A00" w:rsidRDefault="00000000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KOMISI FATWA</w:t>
      </w:r>
    </w:p>
    <w:p w14:paraId="372F2BBA" w14:textId="77777777" w:rsidR="00FB2A00" w:rsidRDefault="00FB2A00">
      <w:pPr>
        <w:bidi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FB2A00" w14:paraId="252F20A5" w14:textId="77777777">
        <w:tc>
          <w:tcPr>
            <w:tcW w:w="4261" w:type="dxa"/>
          </w:tcPr>
          <w:p w14:paraId="27AD3FD6" w14:textId="77777777" w:rsidR="00FB2A00" w:rsidRDefault="000000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3C76B03C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D02E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3B25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CA63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C30E6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CC7D6" w14:textId="77777777" w:rsidR="00FB2A00" w:rsidRDefault="00000000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Irsyad Al Faruq,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M.Ag</w:t>
            </w:r>
            <w:proofErr w:type="spellEnd"/>
          </w:p>
        </w:tc>
        <w:tc>
          <w:tcPr>
            <w:tcW w:w="4261" w:type="dxa"/>
          </w:tcPr>
          <w:p w14:paraId="72DB463D" w14:textId="74F6D8E2" w:rsidR="00FB2A00" w:rsidRDefault="007B5F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B634317" wp14:editId="001CC89F">
                  <wp:simplePos x="0" y="0"/>
                  <wp:positionH relativeFrom="column">
                    <wp:posOffset>2667635</wp:posOffset>
                  </wp:positionH>
                  <wp:positionV relativeFrom="paragraph">
                    <wp:posOffset>4445</wp:posOffset>
                  </wp:positionV>
                  <wp:extent cx="2515235" cy="1493520"/>
                  <wp:effectExtent l="0" t="0" r="0" b="0"/>
                  <wp:wrapNone/>
                  <wp:docPr id="104725030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5030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D2D0C3"/>
                              </a:clrFrom>
                              <a:clrTo>
                                <a:srgbClr val="D2D0C3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3" t="18755" r="19642" b="5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235" cy="1493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31BB864" wp14:editId="0FD2F04C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92075</wp:posOffset>
                  </wp:positionV>
                  <wp:extent cx="2832100" cy="1707515"/>
                  <wp:effectExtent l="0" t="0" r="0" b="0"/>
                  <wp:wrapNone/>
                  <wp:docPr id="225168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68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</w:p>
          <w:p w14:paraId="612288C5" w14:textId="469C9733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5DC17" w14:textId="3091625D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0EC3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0F5B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D899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F2FF2" w14:textId="77777777" w:rsidR="00FB2A00" w:rsidRDefault="000000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Imaduddin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Usman, M.A.</w:t>
            </w:r>
          </w:p>
        </w:tc>
      </w:tr>
      <w:tr w:rsidR="00FB2A00" w14:paraId="0A061BEE" w14:textId="77777777">
        <w:tc>
          <w:tcPr>
            <w:tcW w:w="4261" w:type="dxa"/>
          </w:tcPr>
          <w:p w14:paraId="1C042998" w14:textId="3CEB3B8E" w:rsidR="00FB2A00" w:rsidRDefault="007B5F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429CA41" wp14:editId="746920D0">
                  <wp:simplePos x="0" y="0"/>
                  <wp:positionH relativeFrom="column">
                    <wp:posOffset>182163</wp:posOffset>
                  </wp:positionH>
                  <wp:positionV relativeFrom="paragraph">
                    <wp:posOffset>-116840</wp:posOffset>
                  </wp:positionV>
                  <wp:extent cx="2151380" cy="1447800"/>
                  <wp:effectExtent l="0" t="0" r="0" b="0"/>
                  <wp:wrapNone/>
                  <wp:docPr id="128951185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11851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</w:p>
          <w:p w14:paraId="66BC62EA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B9BC6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E2ED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A2CC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39F5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61A4" w14:textId="77777777" w:rsidR="00FB2A00" w:rsidRDefault="00000000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Saeful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Anwar, Lc., M.A.</w:t>
            </w:r>
          </w:p>
          <w:p w14:paraId="6C35B129" w14:textId="77777777" w:rsidR="00FB2A0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Umum </w:t>
            </w:r>
          </w:p>
        </w:tc>
        <w:tc>
          <w:tcPr>
            <w:tcW w:w="4261" w:type="dxa"/>
          </w:tcPr>
          <w:p w14:paraId="62DA50E7" w14:textId="0B017355" w:rsidR="00FB2A00" w:rsidRDefault="007B5F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1CC849F" wp14:editId="5249CDCD">
                  <wp:simplePos x="0" y="0"/>
                  <wp:positionH relativeFrom="column">
                    <wp:posOffset>123853</wp:posOffset>
                  </wp:positionH>
                  <wp:positionV relativeFrom="paragraph">
                    <wp:posOffset>-228158</wp:posOffset>
                  </wp:positionV>
                  <wp:extent cx="1925955" cy="1331595"/>
                  <wp:effectExtent l="0" t="0" r="0" b="1905"/>
                  <wp:wrapNone/>
                  <wp:docPr id="136611347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13470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5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</w:p>
          <w:p w14:paraId="6C5E940B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59F1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13469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9362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6FE87" w14:textId="77777777" w:rsidR="00FB2A00" w:rsidRDefault="00FB2A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586A" w14:textId="77777777" w:rsidR="00FB2A00" w:rsidRDefault="000000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KH. Tb Hamdi Ma’ani Rusydi</w:t>
            </w:r>
          </w:p>
          <w:p w14:paraId="723F860A" w14:textId="77777777" w:rsidR="00FB2A00" w:rsidRDefault="000000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Umum MUI Prov. Banten</w:t>
            </w:r>
          </w:p>
        </w:tc>
      </w:tr>
    </w:tbl>
    <w:p w14:paraId="276A3B53" w14:textId="77777777" w:rsidR="00FB2A00" w:rsidRDefault="00FB2A00">
      <w:pPr>
        <w:bidi/>
        <w:jc w:val="right"/>
        <w:rPr>
          <w:rFonts w:ascii="Times New Roman" w:hAnsi="Times New Roman"/>
          <w:sz w:val="24"/>
          <w:szCs w:val="24"/>
          <w:rtl/>
        </w:rPr>
      </w:pPr>
    </w:p>
    <w:sectPr w:rsidR="00FB2A00"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2E81" w14:textId="77777777" w:rsidR="00F76116" w:rsidRDefault="00F76116">
      <w:r>
        <w:separator/>
      </w:r>
    </w:p>
  </w:endnote>
  <w:endnote w:type="continuationSeparator" w:id="0">
    <w:p w14:paraId="1F2792D6" w14:textId="77777777" w:rsidR="00F76116" w:rsidRDefault="00F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 HAFS Uthmanic Script">
    <w:altName w:val="Wide Latin"/>
    <w:charset w:val="00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DAA3" w14:textId="77777777" w:rsidR="00FB2A0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C6587" wp14:editId="3DBFC1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BF77B0E" w14:textId="77777777" w:rsidR="00FB2A00" w:rsidRDefault="00000000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1AC6587" id="Text Box 1" o:spid="_x0000_s1027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6BF77B0E" w14:textId="77777777" w:rsidR="00FB2A00" w:rsidRDefault="00000000">
                    <w:pPr>
                      <w:pStyle w:val="Foo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89D4" w14:textId="77777777" w:rsidR="00F76116" w:rsidRDefault="00F76116">
      <w:r>
        <w:separator/>
      </w:r>
    </w:p>
  </w:footnote>
  <w:footnote w:type="continuationSeparator" w:id="0">
    <w:p w14:paraId="1FA17E2F" w14:textId="77777777" w:rsidR="00F76116" w:rsidRDefault="00F7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suff w:val="space"/>
      <w:lvlText w:val="%1."/>
      <w:lvlJc w:val="left"/>
      <w:rPr>
        <w:color w:val="000000" w:themeColor="text1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6" w15:restartNumberingAfterBreak="0">
    <w:nsid w:val="00000007"/>
    <w:multiLevelType w:val="singleLevel"/>
    <w:tmpl w:val="00000007"/>
    <w:lvl w:ilvl="0">
      <w:start w:val="11"/>
      <w:numFmt w:val="upperLetter"/>
      <w:suff w:val="space"/>
      <w:lvlText w:val="%1."/>
      <w:lvlJc w:val="left"/>
    </w:lvl>
  </w:abstractNum>
  <w:abstractNum w:abstractNumId="7" w15:restartNumberingAfterBreak="0">
    <w:nsid w:val="00000008"/>
    <w:multiLevelType w:val="singleLevel"/>
    <w:tmpl w:val="00000008"/>
    <w:lvl w:ilvl="0">
      <w:start w:val="8"/>
      <w:numFmt w:val="upperLetter"/>
      <w:suff w:val="space"/>
      <w:lvlText w:val="%1."/>
      <w:lvlJc w:val="left"/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0053208E"/>
    <w:multiLevelType w:val="singleLevel"/>
    <w:tmpl w:val="0053208E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10" w15:restartNumberingAfterBreak="0">
    <w:nsid w:val="43F4259B"/>
    <w:multiLevelType w:val="multilevel"/>
    <w:tmpl w:val="43F4259B"/>
    <w:lvl w:ilvl="0">
      <w:start w:val="1"/>
      <w:numFmt w:val="lowerLetter"/>
      <w:lvlText w:val="%1."/>
      <w:lvlJc w:val="left"/>
      <w:pPr>
        <w:ind w:left="7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7AEA2EA6"/>
    <w:multiLevelType w:val="multilevel"/>
    <w:tmpl w:val="7AEA2EA6"/>
    <w:lvl w:ilvl="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num w:numId="1" w16cid:durableId="206843332">
    <w:abstractNumId w:val="1"/>
  </w:num>
  <w:num w:numId="2" w16cid:durableId="242300992">
    <w:abstractNumId w:val="5"/>
  </w:num>
  <w:num w:numId="3" w16cid:durableId="1626934073">
    <w:abstractNumId w:val="2"/>
  </w:num>
  <w:num w:numId="4" w16cid:durableId="1131703237">
    <w:abstractNumId w:val="4"/>
  </w:num>
  <w:num w:numId="5" w16cid:durableId="821506910">
    <w:abstractNumId w:val="9"/>
  </w:num>
  <w:num w:numId="6" w16cid:durableId="777606788">
    <w:abstractNumId w:val="8"/>
  </w:num>
  <w:num w:numId="7" w16cid:durableId="773063769">
    <w:abstractNumId w:val="3"/>
  </w:num>
  <w:num w:numId="8" w16cid:durableId="475493810">
    <w:abstractNumId w:val="10"/>
  </w:num>
  <w:num w:numId="9" w16cid:durableId="1102381886">
    <w:abstractNumId w:val="11"/>
  </w:num>
  <w:num w:numId="10" w16cid:durableId="1487359084">
    <w:abstractNumId w:val="0"/>
  </w:num>
  <w:num w:numId="11" w16cid:durableId="1445881878">
    <w:abstractNumId w:val="6"/>
  </w:num>
  <w:num w:numId="12" w16cid:durableId="1031419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DD1"/>
    <w:rsid w:val="000035C5"/>
    <w:rsid w:val="00074959"/>
    <w:rsid w:val="00145DD1"/>
    <w:rsid w:val="0016530E"/>
    <w:rsid w:val="003A73E1"/>
    <w:rsid w:val="0059773B"/>
    <w:rsid w:val="00647D72"/>
    <w:rsid w:val="006E2860"/>
    <w:rsid w:val="007B5F6F"/>
    <w:rsid w:val="009F6302"/>
    <w:rsid w:val="00A83A53"/>
    <w:rsid w:val="00C94469"/>
    <w:rsid w:val="00CB67C7"/>
    <w:rsid w:val="00DB7F31"/>
    <w:rsid w:val="00DE2DF4"/>
    <w:rsid w:val="00E33AC4"/>
    <w:rsid w:val="00F76116"/>
    <w:rsid w:val="00FB2A00"/>
    <w:rsid w:val="1D7B408A"/>
    <w:rsid w:val="37400848"/>
    <w:rsid w:val="37C502D5"/>
    <w:rsid w:val="3EBD094B"/>
    <w:rsid w:val="50C74807"/>
    <w:rsid w:val="53472BE6"/>
    <w:rsid w:val="6A6176B8"/>
    <w:rsid w:val="71676DCD"/>
    <w:rsid w:val="77F17947"/>
    <w:rsid w:val="7CCC1C2C"/>
    <w:rsid w:val="7F0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1EFDE1"/>
  <w15:docId w15:val="{E5A0BDAD-19F8-4BDC-8AEE-0DDA0297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SimSun"/>
      <w:lang w:val="en-US" w:eastAsia="zh-CN"/>
    </w:rPr>
  </w:style>
  <w:style w:type="paragraph" w:styleId="Heading5">
    <w:name w:val="heading 5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cs="SimSun" w:hint="eastAsia"/>
      <w:b/>
      <w:bCs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link w:val="NormalWebChar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WebChar">
    <w:name w:val="Normal (Web) Char"/>
    <w:link w:val="NormalWeb"/>
    <w:qFormat/>
    <w:rPr>
      <w:rFonts w:ascii="Times New Roman" w:eastAsia="SimSun" w:hAnsi="Times New Roman" w:cs="Times New Roman"/>
      <w:kern w:val="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-color-black">
    <w:name w:val="g-color-black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6">
    <w:name w:val="h6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hamela.ws/book/11327/35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1588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Irsyad Al Faruq</dc:creator>
  <cp:lastModifiedBy>MUI Banten</cp:lastModifiedBy>
  <cp:revision>7</cp:revision>
  <cp:lastPrinted>2026-05-07T04:51:00Z</cp:lastPrinted>
  <dcterms:created xsi:type="dcterms:W3CDTF">2022-04-19T22:48:00Z</dcterms:created>
  <dcterms:modified xsi:type="dcterms:W3CDTF">2026-05-07T04:51:00Z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27A979E5389A45F483C1B781CE746FE9</vt:lpwstr>
  </property>
</Properties>
</file>